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widowControl/>
        <w:rPr>
          <w:rFonts w:eastAsia="Calibri"/>
          <w:b w:val="0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189" distR="115189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41655" cy="56896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165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70pt;mso-position-vertical:absolute;width:42.65pt;height:44.80pt;mso-wrap-distance-left:9.07pt;mso-wrap-distance-top:0.00pt;mso-wrap-distance-right:9.07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eastAsia="Calibri"/>
          <w:b w:val="0"/>
          <w:sz w:val="28"/>
          <w:szCs w:val="28"/>
        </w:rPr>
      </w:r>
      <w:r>
        <w:rPr>
          <w:rFonts w:eastAsia="Calibri"/>
          <w:b w:val="0"/>
          <w:sz w:val="28"/>
          <w:szCs w:val="28"/>
        </w:rPr>
      </w:r>
    </w:p>
    <w:p>
      <w:pPr>
        <w:jc w:val="center"/>
        <w:rPr>
          <w:rFonts w:ascii="PT Astra Serif" w:hAnsi="PT Astra Serif" w:eastAsia="Times New Roman" w:cs="PT Astra Serif"/>
          <w:sz w:val="20"/>
          <w:szCs w:val="20"/>
        </w:rPr>
      </w:pPr>
      <w:r>
        <w:rPr>
          <w:rFonts w:ascii="PT Astra Serif" w:hAnsi="PT Astra Serif" w:eastAsia="Times New Roman" w:cs="PT Astra Serif"/>
          <w:sz w:val="20"/>
          <w:szCs w:val="20"/>
        </w:rPr>
      </w:r>
      <w:r>
        <w:rPr>
          <w:rFonts w:ascii="PT Astra Serif" w:hAnsi="PT Astra Serif" w:eastAsia="Times New Roman" w:cs="PT Astra Serif"/>
          <w:sz w:val="20"/>
          <w:szCs w:val="20"/>
        </w:rPr>
      </w:r>
      <w:r>
        <w:rPr>
          <w:rFonts w:ascii="PT Astra Serif" w:hAnsi="PT Astra Serif" w:eastAsia="Times New Roman" w:cs="PT Astra Serif"/>
          <w:sz w:val="20"/>
          <w:szCs w:val="20"/>
        </w:rPr>
      </w:r>
    </w:p>
    <w:p>
      <w:pPr>
        <w:rPr>
          <w:rFonts w:hint="eastAsia" w:ascii="PT Astra Serif" w:hAnsi="PT Astra Serif" w:eastAsia="SimSun" w:cs="PT Astra Serif"/>
          <w:sz w:val="4"/>
          <w:szCs w:val="4"/>
          <w:lang w:eastAsia="hi-IN" w:bidi="hi-IN"/>
        </w:rPr>
      </w:pPr>
      <w:r>
        <w:rPr>
          <w:rFonts w:hint="eastAsia" w:ascii="PT Astra Serif" w:hAnsi="PT Astra Serif" w:eastAsia="SimSun" w:cs="PT Astra Serif"/>
          <w:sz w:val="4"/>
          <w:szCs w:val="4"/>
          <w:lang w:eastAsia="hi-IN" w:bidi="hi-IN"/>
        </w:rPr>
      </w:r>
      <w:r>
        <w:rPr>
          <w:rFonts w:hint="eastAsia" w:ascii="PT Astra Serif" w:hAnsi="PT Astra Serif" w:eastAsia="SimSun" w:cs="PT Astra Serif"/>
          <w:sz w:val="4"/>
          <w:szCs w:val="4"/>
          <w:lang w:eastAsia="hi-IN" w:bidi="hi-IN"/>
        </w:rPr>
      </w:r>
      <w:r>
        <w:rPr>
          <w:rFonts w:hint="eastAsia" w:ascii="PT Astra Serif" w:hAnsi="PT Astra Serif" w:eastAsia="SimSun" w:cs="PT Astra Serif"/>
          <w:sz w:val="4"/>
          <w:szCs w:val="4"/>
          <w:lang w:eastAsia="hi-IN" w:bidi="hi-IN"/>
        </w:rPr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1105"/>
        <w:gridCol w:w="4267"/>
      </w:tblGrid>
      <w:tr>
        <w:tblPrEx/>
        <w:trPr>
          <w:trHeight w:val="434"/>
        </w:trPr>
        <w:tc>
          <w:tcPr>
            <w:tcW w:w="42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Министерство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br/>
              <w:t xml:space="preserve">социальной политики и труда Удмуртской Республики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lang w:eastAsia="en-US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lang w:eastAsia="en-US"/>
              </w:rPr>
              <w:t xml:space="preserve">Минсоцполитики</w:t>
            </w:r>
            <w:r>
              <w:rPr>
                <w:rFonts w:ascii="PT Astra Serif" w:hAnsi="PT Astra Serif" w:eastAsia="PT Astra Serif" w:cs="PT Astra Serif"/>
                <w:lang w:eastAsia="en-US"/>
              </w:rPr>
              <w:t xml:space="preserve"> УР)</w:t>
            </w:r>
            <w:r>
              <w:rPr>
                <w:rFonts w:ascii="PT Astra Serif" w:hAnsi="PT Astra Serif" w:cs="PT Astra Serif"/>
                <w:lang w:eastAsia="en-US"/>
              </w:rPr>
            </w:r>
            <w:r>
              <w:rPr>
                <w:rFonts w:ascii="PT Astra Serif" w:hAnsi="PT Astra Serif" w:cs="PT Astra Serif"/>
                <w:lang w:eastAsia="en-US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42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Удмурт 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Элькунысь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мерлыко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политикая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но 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ужъя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 министерство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lang w:eastAsia="en-US"/>
              </w:rPr>
              <w:t xml:space="preserve">(УЭ </w:t>
            </w:r>
            <w:r>
              <w:rPr>
                <w:rFonts w:ascii="PT Astra Serif" w:hAnsi="PT Astra Serif" w:eastAsia="PT Astra Serif" w:cs="PT Astra Serif"/>
                <w:lang w:eastAsia="en-US"/>
              </w:rPr>
              <w:t xml:space="preserve">мерполитикмин</w:t>
            </w:r>
            <w:r>
              <w:rPr>
                <w:rFonts w:ascii="PT Astra Serif" w:hAnsi="PT Astra Serif" w:eastAsia="PT Astra Serif" w:cs="PT Astra Serif"/>
                <w:lang w:eastAsia="en-US"/>
              </w:rPr>
              <w:t xml:space="preserve">)</w:t>
            </w:r>
            <w:r>
              <w:rPr>
                <w:rFonts w:ascii="PT Astra Serif" w:hAnsi="PT Astra Serif" w:cs="PT Astra Serif"/>
                <w:lang w:eastAsia="en-US"/>
              </w:rPr>
            </w:r>
            <w:r>
              <w:rPr>
                <w:rFonts w:ascii="PT Astra Serif" w:hAnsi="PT Astra Serif" w:cs="PT Astra Serif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tcW w:w="42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1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42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en-US"/>
              </w:rPr>
              <w:t xml:space="preserve">ПРИКАЗ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tcW w:w="4267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en-US"/>
              </w:rPr>
              <w:t xml:space="preserve">«__» _______ 2025 года</w:t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</w:p>
        </w:tc>
        <w:tc>
          <w:tcPr>
            <w:tcW w:w="1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42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en-US"/>
              </w:rPr>
              <w:t xml:space="preserve">                                         № ___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212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en-US"/>
              </w:rPr>
              <w:t xml:space="preserve">г. Ижевск</w:t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tabs>
          <w:tab w:val="left" w:pos="467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-2"/>
        <w:jc w:val="center"/>
        <w:tabs>
          <w:tab w:val="left" w:pos="935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Об утверждении Порядка осуществления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тветствии с Указом Главы Удмуртской Республики от 17 июня 2025 года № 134 «Об установлении единовременной денежной выплаты гражданам, оказавшим содействие в привлечении граждан к заключению контракта о прохождении военной службы в Вооруженных силах 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оссийской Федерации» </w:t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к 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а ю: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Утвердить прилагаемый Порядок осуществления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</w:t>
      </w:r>
      <w:r>
        <w:rPr>
          <w:rFonts w:ascii="PT Astra Serif" w:hAnsi="PT Astra Serif" w:cs="PT Astra Serif"/>
          <w:sz w:val="28"/>
          <w:szCs w:val="28"/>
        </w:rPr>
        <w:t xml:space="preserve">енных Силах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Настоящий приказ вступает в силу </w:t>
      </w:r>
      <w:r>
        <w:rPr>
          <w:rFonts w:ascii="PT Astra Serif" w:hAnsi="PT Astra Serif" w:cs="PT Astra Serif"/>
          <w:sz w:val="28"/>
          <w:szCs w:val="28"/>
        </w:rPr>
        <w:t xml:space="preserve">с даты</w:t>
      </w:r>
      <w:r>
        <w:rPr>
          <w:rFonts w:ascii="PT Astra Serif" w:hAnsi="PT Astra Serif" w:cs="PT Astra Serif"/>
          <w:sz w:val="28"/>
          <w:szCs w:val="28"/>
        </w:rPr>
        <w:t xml:space="preserve"> его подписания.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Заместитель Председателя Правительства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 – министр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       О.В.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Лубнина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3"/>
          <w:footnotePr/>
          <w:endnotePr/>
          <w:type w:val="nextPage"/>
          <w:pgSz w:w="11906" w:h="16838" w:orient="portrait"/>
          <w:pgMar w:top="1134" w:right="567" w:bottom="680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652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УТВЕРЖДЕН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  <w:br/>
        <w:t xml:space="preserve">приказом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социальной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политики и труда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65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 __________ № 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left="5103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ПОРЯДОК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осуществления единовременной денежной выплаты гражданам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Российской Федерации,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оказавшим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содействие в привлечении граждан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 заключению контракта о прохождении военной службы </w:t>
        <w:br/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Вооруженных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Силах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Российской Федерации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Style w:val="894"/>
        <w:ind w:left="5103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94"/>
        <w:ind w:left="5103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Поряд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 устанавливает условия и определяет процедуру осуществления единовременной денежной выплаты (далее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единовременная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выплата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гражданам Российской Федерации, оказавшим содействие в привлечении граждан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Федерации, иностранных граждан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заключению контракта о пр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охождении военной службы в Вооруженных Силах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контракт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через федеральное казенное учреждение «Военный комиссариат Удмуртской Республики»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военный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комиссариат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пункт отбора на военную службу по контракту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 разряда)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города Ижевска (далее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пункт отбора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Выплата предоставляется гражданам Российской Федерации, достигшим возраста 18 лет (за исключением военнослужащих и сотрудников воинских частей Министерства обороны 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сийской Федерации, военного комиссариата Удмуртской Республики, пункта отбора), оказавшим содействие в привлечении граждан Российской Федерации, иностранных граждан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лица, привлеченные к заключению контракта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заключению контракта через военный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миссариат Удмуртской Республики, пункт отбора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получатели выплаты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при одновременном соблюдении следующих условий: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лицо, привлеченное к заключению контракта получателем выплаты, заключило контракт в период с «__» ________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2025 года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31 декабря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года на один год и более через военный комиссариат Удмуртской Республики, пункт отбора;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получатель выплаты лично содействовал заключению контракта лицом, привлеченным к заключению такого контракта, и при этом отсутствовал иной получатель выплаты, котор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ый оказывал содействие тому же лицу, привлеченному к заключению контракта;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лицо, привлеченное к заключению контракта, зачислено в списки личного состава воинской части.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>
        <w:rPr>
          <w:rFonts w:ascii="PT Astra Serif" w:hAnsi="PT Astra Serif" w:cs="PT Astra Serif"/>
          <w:sz w:val="28"/>
          <w:szCs w:val="28"/>
        </w:rPr>
        <w:t xml:space="preserve">Выплата предоставляется получателю выплаты в размере, установленном Главой Удмур</w:t>
      </w:r>
      <w:r>
        <w:rPr>
          <w:rFonts w:ascii="PT Astra Serif" w:hAnsi="PT Astra Serif" w:cs="PT Astra Serif"/>
          <w:sz w:val="28"/>
          <w:szCs w:val="28"/>
        </w:rPr>
        <w:t xml:space="preserve">тской Республики по состоянию на дату зачисления лица, привлеченного к заключению контракта,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списки личного состава воинской части.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Предоставление выплаты за привлечение к заключению контракта одного и того же лица двум и более получателям выплаты не 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пускается.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получения выплаты ее получатель лично, совместно с лицом, привлеченным к заключению контракта, обращается в Министерство социальной политики и труда Удмуртской Респуб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лики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Министерство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либо филиал казенного учреждения Удмуртской Республики «Республиканский центр социальных выплат» (далее – филиал) с заявлением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  <w:t xml:space="preserve">о назначении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единовременной денежной выплаты гражданам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Российской Федерации,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оказавшим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содействие в привлечении граждан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 заключению контракта о прохождении военной службы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Вооруженных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Силах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Российской Федерации,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форме согласно приложению 1 к настоящему Порядку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заявление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с приложением следующих док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ументов: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копии паспорта получателя выплаты, копии паспорта или иного документа, удостоверяющего личность лица, привлеченного к заключению контракта;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сведений о реквизитах счета,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кредитной организации, для перечисления единовременной выплаты;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Копии документов, указанные в пункте 4 настоящего Порядка, предоставляются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 либо филиал с одновременным предъявлением их оригиналов.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Министерство при поступлении заявления от получателя выплаты в порядке, установленном пунктом 4 настоящего Порядка: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обеспечивает прием заявления и представленных документов в день их поступления;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при отсутствии оснований для отказа в предоставлении выплаты, установленных пунктом 8 настоящего Порядка, включает получателя выплаты в реестр гражд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ан, оказавших содействие в привлечении граждан к заключению контракта о прохождении военной службы в Вооруженных Силах Российской Федерации (далее -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реестр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tabs>
          <w:tab w:val="left" w:pos="1147" w:leader="none"/>
        </w:tabs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при наличии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оснований для отказа в предоставлении выплаты, установленных пунктом 8 настоящего Порядка, в срок, не превышающий 15 рабочих дней со дня выявления соответствующих оснований, уведомляет получателя выплаты об отказе в ее предоставлении с указанием соответст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вующих причин.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 </w:t>
      </w:r>
      <w:r>
        <w:rPr>
          <w:rFonts w:ascii="PT Astra Serif" w:hAnsi="PT Astra Serif" w:cs="PT Astra Serif"/>
          <w:sz w:val="28"/>
          <w:szCs w:val="28"/>
        </w:rPr>
        <w:t xml:space="preserve">Выплата перечисляется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счета получателей выплат, включенных в реестр, не позднее последнего рабочего дня месяца, следующего за месяцем,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котором лицо, привлеченное к заключению контракта, было включено в списки: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граждан, призванны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 на военную службу по мобилизации в Вооруженные Силы Российской Федерации, заключивших контракт о прохождении военной службы в Вооруженных Силах Российской Федерации, представленных пунктом отбора;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военнослужащих, проходящих военную службу по призыву в Вооруженных Силах Россий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ской Федерации,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призванных через Военный комиссариат Удмуртской Республики,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заключивших контракт о прохождении военной службы в Вооруженных Силах Российской Федерации, представленных пунктом отбора;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граждан, имеющих воинские звания офи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церов, прапорщиков, сержантов, рядовых, пребывающих в запасе, изъявивших желание поступить на военную службу по контракту, заключивших контракт о прохождении военной службы в Вооруженных Силах Российской Федерации на офицерские должности в соответствии со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статьей 38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 закона от 28 марта 1998 года № 53-ФЗ «О воинской обязанности и военной службе», представленных военным комиссариатом Удмуртской Республики;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граждан, добровольно поступивших на военную службу по контракту о прохождении военной службы в Вооруженных Силах Российской Федерации, представленных пунктом отбора.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Основаниями для отказа в предоставлении выплаты являются: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несоответствие получателя выплаты требованиям, указанным в пункте 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Порядка;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несоблюдение условий, установленных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пунктом 2 настоящего Порядка;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несоответствие заявления и (или) представленных документов требовани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ям, установленным пунктами 4, 5 настоящего Порядка, или непредставление (представление не в полном объеме) таких документов;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наличие в заявлении, представленных документах недостоверных сведений;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наличие сведений об ином получателе выплаты, оказавшем содействие в привлечении одного и того же лица к заключению контракта.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9. Получатель выплаты самостоятельно осуществляет исчисление, декларирование и уплату налога на доходы физических лиц с полученной выплаты в порядке, предусмотренном законодательством Российской Федерации.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94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jc w:val="both"/>
        <w:spacing w:before="0" w:beforeAutospacing="0" w:after="0" w:afterAutospacing="0" w:line="288" w:lineRule="atLeast"/>
        <w:rPr>
          <w:rFonts w:ascii="PT Astra Serif" w:hAnsi="PT Astra Serif" w:eastAsia="PT Astra Serif" w:cs="PT Astra Serif"/>
          <w:sz w:val="28"/>
          <w:szCs w:val="28"/>
        </w:rPr>
        <w:sectPr>
          <w:headerReference w:type="first" r:id="rId12"/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Порядку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единовременной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денежной выплаты гражданам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оказавшим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содействие в привлечении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гражданина к заключению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о прохождении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военной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службы в Вооруженных Силах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669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Форма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Министерство социальной политики и труда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Удмуртской Республики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ЗАЯВЛЕНИЕ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96"/>
        <w:jc w:val="center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назначении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единовременной денежной выплаты гражданам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896"/>
        <w:jc w:val="center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Российской Федерации,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оказавшим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содействие в привлечении граждан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896"/>
        <w:jc w:val="center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 заключению контракта о прохождении военной службы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Вооруженных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Силах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Российской Федерации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tabs>
          <w:tab w:val="left" w:pos="180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jc w:val="center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  <w:t xml:space="preserve">                 (фамилия, имя, отчество (при наличии) заявителя)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9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</w:rPr>
      </w:r>
    </w:p>
    <w:p>
      <w:pPr>
        <w:pStyle w:val="89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t xml:space="preserve">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(адрес места регистрации по месту жительства (месту пребывания)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номер телефона </w:t>
      </w:r>
      <w:r>
        <w:rPr>
          <w:rFonts w:ascii="PT Astra Serif" w:hAnsi="PT Astra Serif" w:cs="PT Astra Serif"/>
          <w:sz w:val="28"/>
          <w:szCs w:val="28"/>
        </w:rPr>
        <w:t xml:space="preserve">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t xml:space="preserve">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6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документ, удостоверяющий личность: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80"/>
        <w:gridCol w:w="3321"/>
        <w:gridCol w:w="1984"/>
        <w:gridCol w:w="1843"/>
        <w:gridCol w:w="2552"/>
        <w:gridCol w:w="141"/>
      </w:tblGrid>
      <w:tr>
        <w:tblPrEx/>
        <w:trPr>
          <w:gridBefore w:val="1"/>
          <w:trHeight w:val="644"/>
        </w:trPr>
        <w:tc>
          <w:tcPr>
            <w:tcW w:w="332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Наименование документа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gridSpan w:val="4"/>
            <w:tcW w:w="652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gridBefore w:val="1"/>
          <w:trHeight w:val="644"/>
        </w:trPr>
        <w:tc>
          <w:tcPr>
            <w:tcW w:w="332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Серия, номер (при наличии)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Дата выдачи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gridSpan w:val="2"/>
            <w:tcW w:w="269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gridBefore w:val="1"/>
          <w:trHeight w:val="644"/>
        </w:trPr>
        <w:tc>
          <w:tcPr>
            <w:tcW w:w="332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Кем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выдан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gridSpan w:val="4"/>
            <w:tcW w:w="652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gridBefore w:val="1"/>
          <w:trHeight w:val="644"/>
        </w:trPr>
        <w:tc>
          <w:tcPr>
            <w:tcW w:w="332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Дата рождения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gridSpan w:val="4"/>
            <w:tcW w:w="652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right"/>
        </w:trPr>
        <w:tc>
          <w:tcPr>
            <w:gridSpan w:val="5"/>
            <w:tcW w:w="97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ИНН______________________________________________________________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СНИЛС____________________________________________________________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Лицо, привлеченное к заключению контракта_____________________________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____________________________________________________________________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фамилия, имя, отчество (при наличии)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Единовременную выплату прошу перечислить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кредитную организацию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кредитной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кредитной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счета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Приложение: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726"/>
              <w:numPr>
                <w:ilvl w:val="0"/>
                <w:numId w:val="1"/>
              </w:numPr>
              <w:ind w:left="425" w:right="0" w:hanging="425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копии паспортов (документов, удостоверяющих личность) заявителя и гражданина, привлеченного к заключению контракта на ____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pStyle w:val="726"/>
              <w:numPr>
                <w:ilvl w:val="0"/>
                <w:numId w:val="1"/>
              </w:numPr>
              <w:ind w:left="425" w:hanging="425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сведения о реквизитах счета,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открытого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в кредитной организации, для перечисления выплаты на ___ л.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В соответствии с Федеральным законом от 27.07.2006 № 152-ФЗ «О персональных данных» д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аю согласие на обработку моих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 персональных данных в Министерстве социальной политики и труда Удмуртской Республики,  к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азенном учреждении Удмуртской Республики «Республиканский центр социальных выплат» и его филиалах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, а также на их использование в информационном обмене с другими организациями, участвующими в предоставлении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 единовременной денежной выплаты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.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firstLine="0"/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Подтверждаю, что: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firstLine="709"/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 являюсь военнослужащим, сотрудником воинских частей Министерства обороны Российской Федерации, федерального казенного учреждения «Военный комиссариат Удмуртской Республики», пункта отбора на военную службу по контракту города Ижевска;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firstLine="710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осведомлен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 необходимости самостоятельного декларирования полученной единовременной денежной выплаты и уплаты с нее налогов в порядке, предусмотренном действующим законодательством.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firstLine="710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firstLine="710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Заявитель: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  / __________________________________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(подпись)                     (фамилия, инициалы заявителя)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spacing w:line="288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дата _____________________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В соответствии с Федеральным законом от 27.07.2006 № 152-ФЗ «О персональных данных» д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аю согласие на обработку моих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 персональных данных в Министерстве социальной политики и труда Удмуртской Республики,  к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азенном учреждении Удмуртской Республики «Республиканский центр социальных выплат» и его филиалах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, а также на их использование в информационном обмене с другими организациями, участвующими в предоставлении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 единовременной денежной выплаты.</w:t>
            </w:r>
            <w:r/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firstLine="710"/>
              <w:jc w:val="both"/>
              <w:spacing w:line="288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Лицо, привлеченное к заключению контракта: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  / __________________________________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(подпись)                     (фамилия, инициалы заявителя)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spacing w:line="288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дата _____________________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right"/>
        </w:trPr>
        <w:tc>
          <w:tcPr>
            <w:gridSpan w:val="5"/>
            <w:tcW w:w="978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Документы приняты «____» _________________ 20____г.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Подпись лица, принявшего документы:___________________________________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                                                                               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(подпись, расшифровка подписи)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r/>
            <w:r/>
          </w:p>
        </w:tc>
      </w:tr>
    </w:tbl>
    <w:p>
      <w:pPr>
        <w:ind w:left="10772"/>
        <w:spacing w:before="168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964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Courier New">
    <w:panose1 w:val="020704090202050204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fldSimple w:instr="PAGE \* MERGEFORMAT">
      <w:r>
        <w:t xml:space="preserve">1</w:t>
      </w:r>
    </w:fldSimple>
    <w:r/>
    <w:r/>
  </w:p>
  <w:p>
    <w:pPr>
      <w:pStyle w:val="73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6</w: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right"/>
    </w:pPr>
    <w:r>
      <w:t xml:space="preserve">Проект</w:t>
    </w:r>
    <w:r/>
  </w:p>
  <w:p>
    <w:pPr>
      <w:pStyle w:val="736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/>
    <w:r/>
  </w:p>
  <w:p>
    <w:pPr>
      <w:pStyle w:val="73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rPr>
      <w:rFonts w:ascii="Times New Roman" w:hAnsi="Times New Roman"/>
      <w:sz w:val="24"/>
      <w:szCs w:val="24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link w:val="708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3 Char"/>
    <w:basedOn w:val="691"/>
    <w:link w:val="71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1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1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1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1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1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1"/>
    <w:link w:val="728"/>
    <w:uiPriority w:val="10"/>
    <w:rPr>
      <w:sz w:val="48"/>
      <w:szCs w:val="48"/>
    </w:rPr>
  </w:style>
  <w:style w:type="character" w:styleId="703" w:customStyle="1">
    <w:name w:val="Subtitle Char"/>
    <w:basedOn w:val="691"/>
    <w:link w:val="730"/>
    <w:uiPriority w:val="11"/>
    <w:rPr>
      <w:sz w:val="24"/>
      <w:szCs w:val="24"/>
    </w:rPr>
  </w:style>
  <w:style w:type="character" w:styleId="704" w:customStyle="1">
    <w:name w:val="Quote Char"/>
    <w:link w:val="732"/>
    <w:uiPriority w:val="29"/>
    <w:rPr>
      <w:i/>
    </w:rPr>
  </w:style>
  <w:style w:type="character" w:styleId="705" w:customStyle="1">
    <w:name w:val="Intense Quote Char"/>
    <w:link w:val="734"/>
    <w:uiPriority w:val="30"/>
    <w:rPr>
      <w:i/>
    </w:rPr>
  </w:style>
  <w:style w:type="character" w:styleId="706" w:customStyle="1">
    <w:name w:val="Footnote Text Char"/>
    <w:link w:val="869"/>
    <w:uiPriority w:val="99"/>
    <w:rPr>
      <w:sz w:val="18"/>
    </w:rPr>
  </w:style>
  <w:style w:type="character" w:styleId="707" w:customStyle="1">
    <w:name w:val="Endnote Text Char"/>
    <w:link w:val="872"/>
    <w:uiPriority w:val="99"/>
    <w:rPr>
      <w:sz w:val="20"/>
    </w:rPr>
  </w:style>
  <w:style w:type="paragraph" w:styleId="708" w:customStyle="1">
    <w:name w:val="Heading 1"/>
    <w:basedOn w:val="690"/>
    <w:next w:val="690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 w:customStyle="1">
    <w:name w:val="Heading 2"/>
    <w:basedOn w:val="690"/>
    <w:next w:val="690"/>
    <w:link w:val="886"/>
    <w:qFormat/>
    <w:pPr>
      <w:ind w:left="4820"/>
      <w:jc w:val="center"/>
      <w:keepNext/>
      <w:outlineLvl w:val="1"/>
    </w:pPr>
    <w:rPr>
      <w:rFonts w:eastAsia="Times New Roman"/>
      <w:sz w:val="28"/>
      <w:szCs w:val="20"/>
      <w:lang w:val="en-US"/>
    </w:rPr>
  </w:style>
  <w:style w:type="paragraph" w:styleId="710" w:customStyle="1">
    <w:name w:val="Heading 3"/>
    <w:basedOn w:val="690"/>
    <w:next w:val="6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0"/>
    <w:next w:val="690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0"/>
    <w:next w:val="6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3" w:customStyle="1">
    <w:name w:val="Heading 6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90"/>
    <w:uiPriority w:val="34"/>
    <w:qFormat/>
    <w:pPr>
      <w:contextualSpacing/>
      <w:ind w:left="720"/>
    </w:pPr>
    <w:rPr>
      <w:rFonts w:eastAsia="Times New Roman"/>
    </w:rPr>
  </w:style>
  <w:style w:type="paragraph" w:styleId="727">
    <w:name w:val="No Spacing"/>
    <w:uiPriority w:val="1"/>
    <w:qFormat/>
    <w:rPr>
      <w:lang w:eastAsia="zh-CN"/>
    </w:rPr>
  </w:style>
  <w:style w:type="paragraph" w:styleId="728">
    <w:name w:val="Title"/>
    <w:basedOn w:val="690"/>
    <w:next w:val="690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90"/>
    <w:next w:val="690"/>
    <w:link w:val="731"/>
    <w:uiPriority w:val="11"/>
    <w:qFormat/>
    <w:pPr>
      <w:spacing w:before="200" w:after="200"/>
    </w:p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90"/>
    <w:next w:val="69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0"/>
    <w:next w:val="69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 w:customStyle="1">
    <w:name w:val="Header"/>
    <w:basedOn w:val="690"/>
    <w:link w:val="892"/>
    <w:uiPriority w:val="99"/>
    <w:pPr>
      <w:tabs>
        <w:tab w:val="center" w:pos="4677" w:leader="none"/>
        <w:tab w:val="right" w:pos="9355" w:leader="none"/>
      </w:tabs>
    </w:pPr>
    <w:rPr>
      <w:rFonts w:eastAsia="Times New Roman"/>
      <w:lang w:val="en-US"/>
    </w:rPr>
  </w:style>
  <w:style w:type="character" w:styleId="737" w:customStyle="1">
    <w:name w:val="Header Char"/>
    <w:uiPriority w:val="99"/>
  </w:style>
  <w:style w:type="paragraph" w:styleId="738" w:customStyle="1">
    <w:name w:val="Footer"/>
    <w:basedOn w:val="690"/>
    <w:link w:val="89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9" w:customStyle="1">
    <w:name w:val="Footer Char"/>
    <w:uiPriority w:val="99"/>
  </w:style>
  <w:style w:type="paragraph" w:styleId="740" w:customStyle="1">
    <w:name w:val="Caption"/>
    <w:basedOn w:val="690"/>
    <w:next w:val="690"/>
    <w:link w:val="7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1" w:customStyle="1">
    <w:name w:val="Caption Char"/>
    <w:link w:val="740"/>
    <w:uiPriority w:val="99"/>
  </w:style>
  <w:style w:type="table" w:styleId="74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8">
    <w:name w:val="Hyperlink"/>
    <w:uiPriority w:val="99"/>
    <w:unhideWhenUsed/>
    <w:rPr>
      <w:color w:val="0000ff"/>
      <w:u w:val="single"/>
    </w:rPr>
  </w:style>
  <w:style w:type="paragraph" w:styleId="869">
    <w:name w:val="footnote text"/>
    <w:basedOn w:val="690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90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90"/>
    <w:next w:val="690"/>
    <w:uiPriority w:val="39"/>
    <w:unhideWhenUsed/>
    <w:pPr>
      <w:spacing w:after="57"/>
    </w:pPr>
  </w:style>
  <w:style w:type="paragraph" w:styleId="876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7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8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9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80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1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2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3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  <w:rPr>
      <w:lang w:eastAsia="zh-CN"/>
    </w:rPr>
  </w:style>
  <w:style w:type="paragraph" w:styleId="885">
    <w:name w:val="table of figures"/>
    <w:basedOn w:val="690"/>
    <w:next w:val="690"/>
    <w:uiPriority w:val="99"/>
    <w:unhideWhenUsed/>
  </w:style>
  <w:style w:type="character" w:styleId="886" w:customStyle="1">
    <w:name w:val="Заголовок 2 Знак"/>
    <w:link w:val="709"/>
    <w:rPr>
      <w:rFonts w:ascii="Times New Roman" w:hAnsi="Times New Roman" w:eastAsia="Times New Roman"/>
      <w:sz w:val="28"/>
      <w:lang w:eastAsia="ru-RU"/>
    </w:rPr>
  </w:style>
  <w:style w:type="character" w:styleId="887">
    <w:name w:val="Strong"/>
    <w:uiPriority w:val="22"/>
    <w:qFormat/>
    <w:rPr>
      <w:b/>
      <w:bCs/>
    </w:rPr>
  </w:style>
  <w:style w:type="paragraph" w:styleId="888" w:customStyle="1">
    <w:name w:val="ConsPlusNormal"/>
    <w:pPr>
      <w:widowControl w:val="off"/>
    </w:pPr>
    <w:rPr>
      <w:rFonts w:ascii="Times New Roman" w:hAnsi="Times New Roman" w:eastAsia="Times New Roman"/>
      <w:sz w:val="22"/>
      <w:szCs w:val="22"/>
    </w:rPr>
  </w:style>
  <w:style w:type="character" w:styleId="889">
    <w:name w:val="page number"/>
  </w:style>
  <w:style w:type="paragraph" w:styleId="890">
    <w:name w:val="Balloon Text"/>
    <w:basedOn w:val="690"/>
    <w:link w:val="89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91" w:customStyle="1">
    <w:name w:val="Текст выноски Знак"/>
    <w:link w:val="890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92" w:customStyle="1">
    <w:name w:val="Верхний колонтитул Знак"/>
    <w:link w:val="736"/>
    <w:uiPriority w:val="99"/>
    <w:rPr>
      <w:rFonts w:ascii="Times New Roman" w:hAnsi="Times New Roman" w:eastAsia="Times New Roman"/>
      <w:sz w:val="24"/>
      <w:szCs w:val="24"/>
      <w:lang w:eastAsia="ru-RU"/>
    </w:rPr>
  </w:style>
  <w:style w:type="character" w:styleId="893" w:customStyle="1">
    <w:name w:val="Нижний колонтитул Знак"/>
    <w:link w:val="738"/>
    <w:uiPriority w:val="99"/>
    <w:rPr>
      <w:rFonts w:ascii="Times New Roman" w:hAnsi="Times New Roman"/>
      <w:sz w:val="24"/>
      <w:szCs w:val="24"/>
    </w:rPr>
  </w:style>
  <w:style w:type="paragraph" w:styleId="894">
    <w:name w:val="Normal (Web)"/>
    <w:basedOn w:val="690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paragraph" w:styleId="895" w:customStyle="1">
    <w:name w:val="ConsNonformat"/>
    <w:pPr>
      <w:jc w:val="both"/>
      <w:widowControl w:val="off"/>
    </w:pPr>
    <w:rPr>
      <w:rFonts w:ascii="Times New Roman" w:hAnsi="Times New Roman" w:eastAsia="Times New Roman"/>
      <w:b/>
      <w:bCs/>
      <w:lang w:eastAsia="zh-CN"/>
    </w:rPr>
  </w:style>
  <w:style w:type="paragraph" w:styleId="896" w:customStyle="1">
    <w:name w:val="ConsPlusNonformat"/>
    <w:pPr>
      <w:widowControl w:val="off"/>
    </w:pPr>
    <w:rPr>
      <w:rFonts w:ascii="Courier New" w:hAnsi="Courier New" w:eastAsia="Times New Roman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chernitsyna_els</cp:lastModifiedBy>
  <cp:revision>30</cp:revision>
  <dcterms:created xsi:type="dcterms:W3CDTF">2025-06-09T16:58:00Z</dcterms:created>
  <dcterms:modified xsi:type="dcterms:W3CDTF">2025-06-18T05:08:58Z</dcterms:modified>
  <cp:version>983040</cp:version>
</cp:coreProperties>
</file>