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/>
        <w:jc w:val="center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none"/>
        </w:rPr>
        <w:t xml:space="preserve">Результаты оценки эффективности реализации государственных программ Удмуртской Республики, ответственным исполнителем которых является Министерство социальной политики и труда Удмуртской Республики</w:t>
      </w:r>
      <w:r>
        <w:rPr>
          <w:b/>
          <w:bCs/>
          <w:sz w:val="28"/>
          <w:szCs w:val="28"/>
          <w:highlight w:val="none"/>
        </w:rPr>
        <w:t xml:space="preserve">, за 2024 год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6804"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-8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-850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Сводный рейтинг эффективности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-8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государственных</w:t>
      </w:r>
      <w:r>
        <w:rPr>
          <w:b/>
          <w:bCs/>
          <w:sz w:val="28"/>
          <w:szCs w:val="28"/>
        </w:rPr>
        <w:t xml:space="preserve"> программ Удмуртской Республики </w:t>
      </w:r>
      <w:r>
        <w:rPr>
          <w:b/>
          <w:bCs/>
          <w:sz w:val="28"/>
          <w:szCs w:val="28"/>
        </w:rPr>
        <w:t xml:space="preserve">по итогам 2024 года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tbl>
      <w:tblPr>
        <w:tblW w:w="1530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681"/>
        <w:gridCol w:w="3701"/>
        <w:gridCol w:w="4411"/>
        <w:gridCol w:w="1843"/>
        <w:gridCol w:w="2165"/>
        <w:gridCol w:w="1933"/>
      </w:tblGrid>
      <w:tr>
        <w:tblPrEx/>
        <w:trPr>
          <w:trHeight w:val="10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left="-108"/>
              <w:jc w:val="center"/>
              <w:rPr>
                <w:bCs/>
                <w:i/>
                <w:iCs/>
                <w:sz w:val="22"/>
                <w:szCs w:val="22"/>
                <w:highlight w:val="white"/>
              </w:rPr>
            </w:pP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№ п/п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iCs/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</w:rPr>
              <w:t xml:space="preserve">Код ГП</w:t>
            </w:r>
            <w:r>
              <w:rPr>
                <w:i/>
                <w:iCs/>
                <w:sz w:val="22"/>
                <w:szCs w:val="22"/>
                <w:highlight w:val="white"/>
              </w:rPr>
            </w:r>
            <w:r>
              <w:rPr>
                <w:i/>
                <w:iCs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/>
                <w:iCs/>
                <w:sz w:val="22"/>
                <w:szCs w:val="22"/>
                <w:highlight w:val="white"/>
              </w:rPr>
            </w:pP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Наименование 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го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с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программы 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41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/>
                <w:iCs/>
                <w:sz w:val="22"/>
                <w:szCs w:val="22"/>
                <w:highlight w:val="white"/>
              </w:rPr>
            </w:pP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Ответственный исполнитель 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го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с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программы 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/>
                <w:iCs/>
                <w:sz w:val="22"/>
                <w:szCs w:val="22"/>
                <w:highlight w:val="white"/>
              </w:rPr>
            </w:pP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Интегральная оценка го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с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программы</w:t>
            </w:r>
            <w:r>
              <w:rPr>
                <w:bCs/>
                <w:i/>
                <w:iCs/>
                <w:sz w:val="22"/>
                <w:szCs w:val="22"/>
                <w:highlight w:val="none"/>
              </w:rPr>
              <w:t xml:space="preserve">, %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65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iCs/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Категория степени эффективности реализации 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го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с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программы </w:t>
            </w:r>
            <w:r>
              <w:rPr>
                <w:i/>
                <w:iCs/>
                <w:sz w:val="22"/>
                <w:szCs w:val="22"/>
                <w:highlight w:val="white"/>
              </w:rPr>
            </w:r>
            <w:r>
              <w:rPr>
                <w:i/>
                <w:iCs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33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iCs/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Эффективность 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го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с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программы </w:t>
            </w:r>
            <w:r>
              <w:rPr>
                <w:i/>
                <w:iCs/>
                <w:sz w:val="22"/>
                <w:szCs w:val="22"/>
                <w:highlight w:val="white"/>
              </w:rPr>
            </w:r>
            <w:r>
              <w:rPr>
                <w:i/>
                <w:iCs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left="-108"/>
              <w:jc w:val="center"/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  <w:highlight w:val="white"/>
              </w:rPr>
              <w:t xml:space="preserve">   1</w:t>
            </w:r>
            <w:r>
              <w:rPr>
                <w:bCs/>
                <w:sz w:val="22"/>
                <w:szCs w:val="22"/>
                <w:highlight w:val="white"/>
              </w:rPr>
            </w:r>
            <w:r>
              <w:rPr>
                <w:bCs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</w:rPr>
              <w:t xml:space="preserve">3</w:t>
            </w:r>
            <w:r>
              <w:rPr>
                <w:bCs/>
                <w:sz w:val="22"/>
                <w:szCs w:val="22"/>
                <w:highlight w:val="white"/>
              </w:rPr>
            </w:r>
            <w:r>
              <w:rPr>
                <w:bCs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41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</w:rPr>
              <w:t xml:space="preserve">4</w:t>
            </w:r>
            <w:r>
              <w:rPr>
                <w:bCs/>
                <w:sz w:val="22"/>
                <w:szCs w:val="22"/>
                <w:highlight w:val="white"/>
              </w:rPr>
            </w:r>
            <w:r>
              <w:rPr>
                <w:bCs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  <w:highlight w:val="white"/>
              </w:rPr>
              <w:t xml:space="preserve">5</w:t>
            </w:r>
            <w:r>
              <w:rPr>
                <w:bCs/>
                <w:sz w:val="22"/>
                <w:szCs w:val="22"/>
                <w:highlight w:val="white"/>
              </w:rPr>
            </w:r>
            <w:r>
              <w:rPr>
                <w:bCs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6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3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32</w:t>
            </w:r>
            <w:r>
              <w:rPr>
                <w:i/>
                <w:color w:val="000000"/>
                <w:sz w:val="22"/>
                <w:szCs w:val="22"/>
              </w:rPr>
            </w:r>
            <w:r>
              <w:rPr>
                <w:i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701" w:type="dxa"/>
            <w:vAlign w:val="center"/>
            <w:textDirection w:val="lrTb"/>
            <w:noWrap w:val="false"/>
          </w:tcPr>
          <w:p>
            <w:pPr>
              <w:ind w:right="-91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социально-трудовых отношений и содействие занятости населения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411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Министерство социальной политики и труда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d6e3bc" w:themeFill="accent3" w:themeFillTint="6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6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категория - высокая степень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33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Эффективная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none"/>
              </w:rPr>
            </w:pPr>
            <w:r>
              <w:rPr>
                <w:color w:val="000000"/>
                <w:sz w:val="22"/>
                <w:szCs w:val="22"/>
                <w:highlight w:val="none"/>
              </w:rPr>
              <w:t xml:space="preserve">2</w:t>
            </w:r>
            <w:r>
              <w:rPr>
                <w:color w:val="000000"/>
                <w:sz w:val="22"/>
                <w:szCs w:val="22"/>
                <w:highlight w:val="none"/>
              </w:rPr>
            </w:r>
            <w:r>
              <w:rPr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color w:val="000000"/>
                <w:sz w:val="22"/>
                <w:szCs w:val="22"/>
                <w:highlight w:val="none"/>
              </w:rPr>
            </w:pPr>
            <w:r>
              <w:rPr>
                <w:i/>
                <w:color w:val="000000"/>
                <w:sz w:val="22"/>
                <w:szCs w:val="22"/>
                <w:highlight w:val="none"/>
              </w:rPr>
              <w:t xml:space="preserve">22</w:t>
            </w:r>
            <w:r>
              <w:rPr>
                <w:i/>
                <w:color w:val="000000"/>
                <w:sz w:val="22"/>
                <w:szCs w:val="22"/>
                <w:highlight w:val="none"/>
              </w:rPr>
            </w:r>
            <w:r>
              <w:rPr>
                <w:i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701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Доступная среда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411" w:type="dxa"/>
            <w:vAlign w:val="center"/>
            <w:textDirection w:val="lrTb"/>
            <w:noWrap w:val="false"/>
          </w:tcPr>
          <w:p>
            <w:pPr>
              <w:ind w:right="-91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Министерство социальной политики и труда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d6e3bc" w:themeFill="accent3" w:themeFillTint="6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96,35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6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категория - высокая степень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33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Эффективная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none"/>
              </w:rPr>
            </w:pPr>
            <w:r>
              <w:rPr>
                <w:color w:val="000000"/>
                <w:sz w:val="22"/>
                <w:szCs w:val="22"/>
                <w:highlight w:val="none"/>
              </w:rPr>
              <w:t xml:space="preserve">3</w:t>
            </w:r>
            <w:r>
              <w:rPr>
                <w:color w:val="000000"/>
                <w:sz w:val="22"/>
                <w:szCs w:val="22"/>
                <w:highlight w:val="none"/>
              </w:rPr>
            </w:r>
            <w:r>
              <w:rPr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color w:val="000000"/>
                <w:sz w:val="22"/>
                <w:szCs w:val="22"/>
                <w:highlight w:val="none"/>
              </w:rPr>
            </w:pPr>
            <w:r>
              <w:rPr>
                <w:i/>
                <w:color w:val="000000"/>
                <w:sz w:val="22"/>
                <w:szCs w:val="22"/>
                <w:highlight w:val="none"/>
              </w:rPr>
              <w:t xml:space="preserve">30</w:t>
            </w:r>
            <w:r>
              <w:rPr>
                <w:i/>
                <w:color w:val="000000"/>
                <w:sz w:val="22"/>
                <w:szCs w:val="22"/>
                <w:highlight w:val="none"/>
              </w:rPr>
            </w:r>
            <w:r>
              <w:rPr>
                <w:i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701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Социальная поддержка граждан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411" w:type="dxa"/>
            <w:vAlign w:val="center"/>
            <w:textDirection w:val="lrTb"/>
            <w:noWrap w:val="false"/>
          </w:tcPr>
          <w:p>
            <w:pPr>
              <w:ind w:right="-91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Министерство социальной политики и труда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d6e3bc" w:themeFill="accent3" w:themeFillTint="6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95,70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6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категория - высокая степень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33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Эффективная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lef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lef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-850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Сведения об </w:t>
      </w:r>
      <w:r>
        <w:rPr>
          <w:b/>
          <w:sz w:val="28"/>
          <w:szCs w:val="28"/>
          <w:highlight w:val="white"/>
        </w:rPr>
        <w:t xml:space="preserve">интегральной оценке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left="-850"/>
        <w:jc w:val="center"/>
      </w:pPr>
      <w:r>
        <w:rPr>
          <w:b/>
          <w:sz w:val="28"/>
          <w:szCs w:val="28"/>
          <w:highlight w:val="white"/>
        </w:rPr>
        <w:t xml:space="preserve">хода</w:t>
      </w:r>
      <w:r>
        <w:rPr>
          <w:b/>
          <w:sz w:val="28"/>
          <w:szCs w:val="28"/>
          <w:highlight w:val="white"/>
        </w:rPr>
        <w:t xml:space="preserve"> реализации и эффективности </w:t>
      </w:r>
      <w:r>
        <w:rPr>
          <w:b/>
          <w:sz w:val="28"/>
          <w:szCs w:val="28"/>
          <w:highlight w:val="white"/>
        </w:rPr>
        <w:t xml:space="preserve"> государственных программ по итогам 2024 года </w:t>
      </w:r>
      <w:r/>
    </w:p>
    <w:p>
      <w:pPr>
        <w:jc w:val="righ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tbl>
      <w:tblPr>
        <w:tblW w:w="5357" w:type="pct"/>
        <w:tblInd w:w="-8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735"/>
        <w:gridCol w:w="3685"/>
        <w:gridCol w:w="4394"/>
        <w:gridCol w:w="1843"/>
        <w:gridCol w:w="2126"/>
        <w:gridCol w:w="1984"/>
      </w:tblGrid>
      <w:tr>
        <w:tblPrEx/>
        <w:trPr>
          <w:trHeight w:val="368"/>
        </w:trPr>
        <w:tc>
          <w:tcPr>
            <w:tcW w:w="5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i/>
                <w:sz w:val="22"/>
                <w:szCs w:val="22"/>
                <w:highlight w:val="white"/>
              </w:rPr>
            </w:pPr>
            <w:r>
              <w:rPr>
                <w:i/>
                <w:sz w:val="22"/>
                <w:szCs w:val="22"/>
                <w:highlight w:val="white"/>
              </w:rPr>
              <w:t xml:space="preserve">№ п/п</w:t>
            </w:r>
            <w:r>
              <w:rPr>
                <w:i/>
                <w:sz w:val="22"/>
                <w:szCs w:val="22"/>
                <w:highlight w:val="white"/>
              </w:rPr>
            </w:r>
            <w:r>
              <w:rPr>
                <w:i/>
                <w:sz w:val="22"/>
                <w:szCs w:val="22"/>
                <w:highlight w:val="white"/>
              </w:rPr>
            </w:r>
          </w:p>
        </w:tc>
        <w:tc>
          <w:tcPr>
            <w:tcW w:w="735" w:type="dxa"/>
            <w:vAlign w:val="center"/>
            <w:vMerge w:val="restart"/>
            <w:textDirection w:val="lrTb"/>
            <w:noWrap w:val="false"/>
          </w:tcPr>
          <w:p>
            <w:pPr>
              <w:ind w:right="-83"/>
              <w:jc w:val="center"/>
              <w:rPr>
                <w:i/>
                <w:sz w:val="22"/>
                <w:szCs w:val="22"/>
                <w:highlight w:val="white"/>
              </w:rPr>
            </w:pPr>
            <w:r>
              <w:rPr>
                <w:i/>
                <w:sz w:val="22"/>
                <w:szCs w:val="22"/>
              </w:rPr>
              <w:t xml:space="preserve">Код ГП</w:t>
            </w:r>
            <w:r>
              <w:rPr>
                <w:i/>
                <w:sz w:val="22"/>
                <w:szCs w:val="22"/>
                <w:highlight w:val="white"/>
              </w:rPr>
            </w:r>
            <w:r>
              <w:rPr>
                <w:i/>
                <w:sz w:val="22"/>
                <w:szCs w:val="22"/>
                <w:highlight w:val="white"/>
              </w:rPr>
            </w:r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i/>
                <w:sz w:val="22"/>
                <w:szCs w:val="22"/>
                <w:highlight w:val="white"/>
              </w:rPr>
            </w:pPr>
            <w:r>
              <w:rPr>
                <w:i/>
                <w:sz w:val="22"/>
                <w:szCs w:val="22"/>
                <w:highlight w:val="white"/>
              </w:rPr>
              <w:t xml:space="preserve">Наименование госпрограммы</w:t>
            </w:r>
            <w:r>
              <w:rPr>
                <w:i/>
                <w:sz w:val="22"/>
                <w:szCs w:val="22"/>
                <w:highlight w:val="white"/>
              </w:rPr>
            </w:r>
            <w:r>
              <w:rPr>
                <w:i/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right w:w="57" w:type="dxa"/>
            </w:tcMar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Cs/>
                <w:i/>
                <w:iCs/>
                <w:sz w:val="22"/>
                <w:szCs w:val="22"/>
                <w:highlight w:val="white"/>
              </w:rPr>
            </w:pP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Ответственный исполнитель 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го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с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программы 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right w:w="57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i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 xml:space="preserve">Интегральная оценка, %</w:t>
            </w:r>
            <w:r>
              <w:rPr>
                <w:i/>
                <w:color w:val="000000" w:themeColor="text1"/>
                <w:sz w:val="22"/>
                <w:szCs w:val="22"/>
                <w:highlight w:val="yellow"/>
              </w:rPr>
            </w:r>
            <w:r>
              <w:rPr>
                <w:i/>
                <w:color w:val="000000" w:themeColor="text1"/>
                <w:sz w:val="22"/>
                <w:szCs w:val="22"/>
                <w:highlight w:val="yellow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  <w:highlight w:val="white"/>
              </w:rPr>
              <w:t xml:space="preserve">Уровень достижения</w:t>
            </w:r>
            <w:r>
              <w:rPr>
                <w:i/>
                <w:color w:val="000000" w:themeColor="text1"/>
                <w:sz w:val="22"/>
                <w:szCs w:val="22"/>
              </w:rPr>
              <w:t xml:space="preserve">, %</w:t>
            </w:r>
            <w:r>
              <w:rPr>
                <w:i/>
                <w:color w:val="000000" w:themeColor="text1"/>
                <w:sz w:val="22"/>
                <w:szCs w:val="22"/>
              </w:rPr>
            </w:r>
            <w:r>
              <w:rPr>
                <w:i/>
                <w:color w:val="000000" w:themeColor="text1"/>
                <w:sz w:val="22"/>
                <w:szCs w:val="22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 xml:space="preserve">Оценка качества финансового </w:t>
            </w:r>
            <w:r>
              <w:rPr>
                <w:i/>
                <w:color w:val="000000" w:themeColor="text1"/>
                <w:sz w:val="22"/>
                <w:szCs w:val="22"/>
              </w:rPr>
              <w:t xml:space="preserve">управления</w:t>
            </w:r>
            <w:r>
              <w:rPr>
                <w:i/>
                <w:color w:val="000000" w:themeColor="text1"/>
                <w:sz w:val="22"/>
                <w:szCs w:val="22"/>
              </w:rPr>
              <w:t xml:space="preserve">,</w:t>
            </w:r>
            <w:r>
              <w:rPr>
                <w:i/>
                <w:color w:val="000000" w:themeColor="text1"/>
                <w:sz w:val="22"/>
                <w:szCs w:val="22"/>
              </w:rPr>
              <w:t xml:space="preserve"> %</w:t>
            </w:r>
            <w:r>
              <w:rPr>
                <w:i/>
                <w:color w:val="000000" w:themeColor="text1"/>
                <w:sz w:val="22"/>
                <w:szCs w:val="22"/>
              </w:rPr>
            </w:r>
            <w:r>
              <w:rPr>
                <w:i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304"/>
        </w:trPr>
        <w:tc>
          <w:tcPr>
            <w:tcW w:w="541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1</w:t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</w:r>
          </w:p>
        </w:tc>
        <w:tc>
          <w:tcPr>
            <w:tcW w:w="735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2</w:t>
            </w:r>
            <w:r>
              <w:rPr>
                <w:b w:val="0"/>
                <w:bCs w:val="0"/>
                <w:sz w:val="22"/>
                <w:szCs w:val="22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3</w:t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b w:val="0"/>
                <w:bCs w:val="0"/>
                <w:sz w:val="22"/>
                <w:szCs w:val="22"/>
                <w:highlight w:val="white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4</w:t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  <w:t xml:space="preserve">5=100%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  <w:t xml:space="preserve">6=80%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7=20%</w:t>
            </w:r>
            <w:r>
              <w:rPr>
                <w:b w:val="0"/>
                <w:bCs w:val="0"/>
                <w:sz w:val="22"/>
                <w:szCs w:val="22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</w:tr>
      <w:tr>
        <w:tblPrEx/>
        <w:trPr>
          <w:trHeight w:val="625"/>
        </w:trPr>
        <w:tc>
          <w:tcPr>
            <w:tcW w:w="541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none"/>
              </w:rPr>
              <w:t xml:space="preserve">1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735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32</w:t>
            </w:r>
            <w:r>
              <w:rPr>
                <w:i/>
                <w:color w:val="000000"/>
                <w:sz w:val="22"/>
                <w:szCs w:val="22"/>
              </w:rPr>
            </w:r>
            <w:r>
              <w:rPr>
                <w:i/>
                <w:color w:val="000000"/>
                <w:sz w:val="22"/>
                <w:szCs w:val="22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социально-трудовых отношений и содействие занятости населения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85" w:type="dxa"/>
              <w:right w:w="8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Министерство социальной политики и труда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c2d69b" w:themeFill="accent3" w:themeFillTint="99"/>
            <w:tcW w:w="1843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98,21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97,16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43"/>
        </w:trPr>
        <w:tc>
          <w:tcPr>
            <w:tcW w:w="541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W w:w="735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color w:val="000000"/>
                <w:sz w:val="22"/>
                <w:szCs w:val="22"/>
                <w:highlight w:val="none"/>
              </w:rPr>
            </w:pPr>
            <w:r>
              <w:rPr>
                <w:i/>
                <w:color w:val="000000"/>
                <w:sz w:val="22"/>
                <w:szCs w:val="22"/>
                <w:highlight w:val="none"/>
              </w:rPr>
              <w:t xml:space="preserve">22</w:t>
            </w:r>
            <w:r>
              <w:rPr>
                <w:i/>
                <w:color w:val="000000"/>
                <w:sz w:val="22"/>
                <w:szCs w:val="22"/>
                <w:highlight w:val="none"/>
              </w:rPr>
            </w:r>
            <w:r>
              <w:rPr>
                <w:i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Доступная среда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85" w:type="dxa"/>
              <w:right w:w="8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Министерство социальной политики и труда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c2d69b" w:themeFill="accent3" w:themeFillTint="99"/>
            <w:tcW w:w="1843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96,35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96,39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96,21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0"/>
        </w:trPr>
        <w:tc>
          <w:tcPr>
            <w:tcW w:w="541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W w:w="735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color w:val="000000"/>
                <w:sz w:val="22"/>
                <w:szCs w:val="22"/>
                <w:highlight w:val="none"/>
              </w:rPr>
            </w:pPr>
            <w:r>
              <w:rPr>
                <w:i/>
                <w:color w:val="000000"/>
                <w:sz w:val="22"/>
                <w:szCs w:val="22"/>
                <w:highlight w:val="none"/>
              </w:rPr>
              <w:t xml:space="preserve">30</w:t>
            </w:r>
            <w:r>
              <w:rPr>
                <w:i/>
                <w:color w:val="000000"/>
                <w:sz w:val="22"/>
                <w:szCs w:val="22"/>
                <w:highlight w:val="none"/>
              </w:rPr>
            </w:r>
            <w:r>
              <w:rPr>
                <w:i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Социальная поддержка граждан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85" w:type="dxa"/>
              <w:right w:w="8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Министерство социальной политики и труда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c2d69b" w:themeFill="accent3" w:themeFillTint="99"/>
            <w:tcW w:w="1843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95,70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95,22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84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97,63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-850"/>
        <w:jc w:val="center"/>
      </w:pPr>
      <w:r>
        <w:rPr>
          <w:b/>
          <w:sz w:val="28"/>
          <w:szCs w:val="28"/>
          <w:highlight w:val="white"/>
        </w:rPr>
        <w:t xml:space="preserve">Сведения об уровне достижения государственных программ по итогам 2024 года </w:t>
      </w:r>
      <w:r/>
    </w:p>
    <w:p>
      <w:pPr>
        <w:jc w:val="righ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tbl>
      <w:tblPr>
        <w:tblW w:w="5362" w:type="pct"/>
        <w:tblInd w:w="-8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741"/>
        <w:gridCol w:w="3685"/>
        <w:gridCol w:w="4394"/>
        <w:gridCol w:w="1843"/>
        <w:gridCol w:w="2126"/>
        <w:gridCol w:w="1983"/>
      </w:tblGrid>
      <w:tr>
        <w:tblPrEx/>
        <w:trPr>
          <w:trHeight w:val="368"/>
        </w:trPr>
        <w:tc>
          <w:tcPr>
            <w:tcW w:w="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  <w:t xml:space="preserve">№ п/п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741" w:type="dxa"/>
            <w:vAlign w:val="center"/>
            <w:vMerge w:val="restart"/>
            <w:textDirection w:val="lrTb"/>
            <w:noWrap w:val="false"/>
          </w:tcPr>
          <w:p>
            <w:pPr>
              <w:ind w:right="-83"/>
              <w:jc w:val="center"/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Код ГП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  <w:t xml:space="preserve">Наименование госпрограммы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right w:w="57" w:type="dxa"/>
            </w:tcMar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Cs/>
                <w:i/>
                <w:iCs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Cs/>
                <w:i/>
                <w:iCs/>
                <w:color w:val="000000" w:themeColor="text1"/>
                <w:sz w:val="22"/>
                <w:szCs w:val="22"/>
                <w:highlight w:val="white"/>
              </w:rPr>
              <w:t xml:space="preserve">Ответственный исполнитель </w:t>
            </w:r>
            <w:r>
              <w:rPr>
                <w:bCs/>
                <w:i/>
                <w:iCs/>
                <w:color w:val="000000" w:themeColor="text1"/>
                <w:sz w:val="22"/>
                <w:szCs w:val="22"/>
                <w:highlight w:val="white"/>
              </w:rPr>
              <w:t xml:space="preserve">го</w:t>
            </w:r>
            <w:r>
              <w:rPr>
                <w:bCs/>
                <w:i/>
                <w:iCs/>
                <w:color w:val="000000" w:themeColor="text1"/>
                <w:sz w:val="22"/>
                <w:szCs w:val="22"/>
                <w:highlight w:val="white"/>
              </w:rPr>
              <w:t xml:space="preserve">с</w:t>
            </w:r>
            <w:r>
              <w:rPr>
                <w:bCs/>
                <w:i/>
                <w:iCs/>
                <w:color w:val="000000" w:themeColor="text1"/>
                <w:sz w:val="22"/>
                <w:szCs w:val="22"/>
                <w:highlight w:val="white"/>
              </w:rPr>
              <w:t xml:space="preserve">программы</w:t>
            </w:r>
            <w:r>
              <w:rPr>
                <w:bCs/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bCs/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right w:w="57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ind w:left="-57" w:right="-57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Уровень 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  <w:p>
            <w:pPr>
              <w:ind w:left="-57" w:right="-57"/>
              <w:jc w:val="center"/>
              <w:rPr>
                <w:i/>
                <w:iCs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достижения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 госпрограммы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, %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yellow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yellow"/>
              </w:rPr>
            </w:r>
          </w:p>
        </w:tc>
        <w:tc>
          <w:tcPr>
            <w:gridSpan w:val="2"/>
            <w:tcMar>
              <w:left w:w="57" w:type="dxa"/>
              <w:top w:w="0" w:type="dxa"/>
              <w:right w:w="57" w:type="dxa"/>
              <w:bottom w:w="0" w:type="dxa"/>
            </w:tcMar>
            <w:tcW w:w="4109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  <w:t xml:space="preserve">Из них: 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266"/>
        </w:trPr>
        <w:tc>
          <w:tcPr>
            <w:tcW w:w="5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741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8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394" w:type="dxa"/>
            <w:vAlign w:val="center"/>
            <w:vMerge w:val="continue"/>
            <w:textDirection w:val="lrTb"/>
            <w:noWrap w:val="false"/>
          </w:tcPr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ind w:left="-57" w:right="-57"/>
              <w:jc w:val="center"/>
              <w:rPr>
                <w:color w:val="ff0000"/>
                <w:sz w:val="22"/>
                <w:szCs w:val="22"/>
                <w:highlight w:val="white"/>
              </w:rPr>
            </w:pPr>
            <w:r>
              <w:rPr>
                <w:color w:val="ff0000"/>
                <w:sz w:val="22"/>
                <w:szCs w:val="22"/>
                <w:highlight w:val="white"/>
              </w:rPr>
            </w:r>
            <w:r>
              <w:rPr>
                <w:color w:val="ff0000"/>
                <w:sz w:val="22"/>
                <w:szCs w:val="22"/>
                <w:highlight w:val="white"/>
              </w:rPr>
            </w:r>
            <w:r>
              <w:rPr>
                <w:color w:val="ff0000"/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  <w:t xml:space="preserve">Уровень достижения показателей государственной программы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, %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9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  <w:t xml:space="preserve">Уровень достижения структурных элементов государственной программы, %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270"/>
        </w:trPr>
        <w:tc>
          <w:tcPr>
            <w:tcW w:w="550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1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741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3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394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5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=100%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6=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50%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7=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 xml:space="preserve">50%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372"/>
        </w:trPr>
        <w:tc>
          <w:tcPr>
            <w:tcW w:w="550" w:type="dxa"/>
            <w:vAlign w:val="center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1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74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32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Развитие социально-трудовых отношений и содействие занятости населения Удмуртской Республики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Mar>
              <w:left w:w="85" w:type="dxa"/>
              <w:right w:w="8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Министерство социальной политики и труда Удмуртской Республики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d6e3bc" w:themeFill="accent3" w:themeFillTint="66"/>
            <w:tcW w:w="1843" w:type="dxa"/>
            <w:vAlign w:val="center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98,21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100,00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19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96,42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550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W w:w="7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highlight w:val="none"/>
              </w:rPr>
              <w:t xml:space="preserve">22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Доступная среда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Mar>
              <w:left w:w="85" w:type="dxa"/>
              <w:top w:w="0" w:type="dxa"/>
              <w:right w:w="85" w:type="dxa"/>
              <w:bottom w:w="0" w:type="dxa"/>
            </w:tcMar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Министерство социальной политики и труда Удмуртской Республики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ffffff" w:fill="d6e3bc" w:themeFill="accent3" w:themeFillTint="66"/>
            <w:tcW w:w="1843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96,39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100,00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1983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92,78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142"/>
        </w:trPr>
        <w:tc>
          <w:tcPr>
            <w:tcW w:w="550" w:type="dxa"/>
            <w:vAlign w:val="center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color w:val="000000" w:themeColor="text1"/>
                <w:sz w:val="22"/>
                <w:szCs w:val="22"/>
                <w:highlight w:val="none"/>
              </w:rPr>
              <w:t xml:space="preserve">3</w:t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W w:w="741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highlight w:val="none"/>
              </w:rPr>
              <w:t xml:space="preserve">30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none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Социальная поддержка граждан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Mar>
              <w:left w:w="85" w:type="dxa"/>
              <w:right w:w="8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Министерство социальной политики и труда Удмуртской Республики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d6e3bc" w:themeFill="accent3" w:themeFillTint="66"/>
            <w:tcW w:w="1843" w:type="dxa"/>
            <w:vAlign w:val="center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  <w:t xml:space="preserve">95,22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96,25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19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94,19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left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highlight w:val="white"/>
        </w:rPr>
        <w:t xml:space="preserve">Сведения о достижении показателей государственных программ и их структурных элементов</w:t>
      </w:r>
      <w:r>
        <w:rPr>
          <w:b/>
          <w:bCs/>
          <w:sz w:val="28"/>
          <w:szCs w:val="28"/>
        </w:rPr>
        <w:t xml:space="preserve"> по итогам 2024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10"/>
          <w:szCs w:val="10"/>
          <w:highlight w:val="white"/>
        </w:rPr>
      </w:pPr>
      <w:r>
        <w:rPr>
          <w:sz w:val="10"/>
          <w:szCs w:val="10"/>
          <w:highlight w:val="white"/>
        </w:rPr>
      </w:r>
      <w:r>
        <w:rPr>
          <w:sz w:val="10"/>
          <w:szCs w:val="10"/>
          <w:highlight w:val="white"/>
        </w:rPr>
      </w:r>
      <w:r>
        <w:rPr>
          <w:sz w:val="10"/>
          <w:szCs w:val="10"/>
          <w:highlight w:val="white"/>
        </w:rPr>
      </w:r>
    </w:p>
    <w:tbl>
      <w:tblPr>
        <w:tblW w:w="5369" w:type="pct"/>
        <w:tblInd w:w="-851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3685"/>
        <w:gridCol w:w="3969"/>
        <w:gridCol w:w="3118"/>
        <w:gridCol w:w="3293"/>
      </w:tblGrid>
      <w:tr>
        <w:tblPrEx/>
        <w:trPr>
          <w:trHeight w:val="9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</w:rPr>
              <w:t xml:space="preserve">п</w:t>
            </w:r>
            <w:r>
              <w:rPr>
                <w:i/>
                <w:iCs/>
                <w:sz w:val="22"/>
                <w:szCs w:val="22"/>
              </w:rPr>
              <w:t xml:space="preserve">/п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right="-31"/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Код ГП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Наименование </w:t>
            </w:r>
            <w:r>
              <w:rPr>
                <w:i/>
                <w:iCs/>
                <w:sz w:val="22"/>
                <w:szCs w:val="22"/>
              </w:rPr>
              <w:t xml:space="preserve">госпрограммы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Количество показателей госпрограммы и ее структурных элементов, </w:t>
            </w:r>
            <w:r>
              <w:rPr>
                <w:i/>
                <w:iCs/>
                <w:sz w:val="22"/>
                <w:szCs w:val="22"/>
              </w:rPr>
              <w:t xml:space="preserve">ед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Уровень достижения показателей структурных элементов госпрограммы, %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93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Уровень достижения показателей госпрограммы, %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/>
        <w:trPr>
          <w:trHeight w:val="2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</w:rPr>
              <w:t xml:space="preserve">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9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</w:rPr>
              <w:t xml:space="preserve">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32</w:t>
            </w:r>
            <w:r>
              <w:rPr>
                <w:i/>
                <w:color w:val="000000"/>
                <w:sz w:val="22"/>
                <w:szCs w:val="22"/>
              </w:rPr>
            </w:r>
            <w:r>
              <w:rPr>
                <w:i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социально-трудовых отношений и содействие занятости населения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100,00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9bbb59" w:themeFill="accent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93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</w:t>
            </w:r>
            <w:r>
              <w:rPr>
                <w:sz w:val="22"/>
                <w:szCs w:val="22"/>
              </w:rPr>
              <w:t xml:space="preserve">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3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Доступная среда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93,67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9bbb59" w:themeFill="accent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93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3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color w:val="000000"/>
                <w:sz w:val="22"/>
                <w:szCs w:val="22"/>
                <w:highlight w:val="white"/>
              </w:rPr>
            </w:pPr>
            <w:r>
              <w:rPr>
                <w:i/>
                <w:color w:val="000000"/>
                <w:sz w:val="22"/>
                <w:szCs w:val="22"/>
                <w:highlight w:val="white"/>
              </w:rPr>
              <w:t xml:space="preserve">30</w:t>
            </w:r>
            <w:r>
              <w:rPr>
                <w:i/>
                <w:color w:val="000000"/>
                <w:sz w:val="22"/>
                <w:szCs w:val="22"/>
                <w:highlight w:val="white"/>
              </w:rPr>
            </w:r>
            <w:r>
              <w:rPr>
                <w:i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Социальная поддержка граждан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98,87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d6e3bc" w:themeFill="accent3" w:themeFillTint="6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93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96,25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Сведения о выполнении (достижении) мероприятий (результатов) структурных элементов государственных программ по итогам 2024 года</w:t>
      </w:r>
      <w:r>
        <w:rPr>
          <w:b/>
          <w:bCs/>
        </w:rPr>
      </w:r>
      <w:r>
        <w:rPr>
          <w:b/>
          <w:bCs/>
        </w:rPr>
      </w:r>
    </w:p>
    <w:p>
      <w:pPr>
        <w:ind w:left="-99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Style w:val="804"/>
        <w:tblW w:w="15307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3969"/>
        <w:gridCol w:w="3685"/>
        <w:gridCol w:w="3118"/>
        <w:gridCol w:w="326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</w:rPr>
              <w:t xml:space="preserve">п</w:t>
            </w:r>
            <w:r>
              <w:rPr>
                <w:i/>
                <w:iCs/>
                <w:sz w:val="22"/>
                <w:szCs w:val="22"/>
              </w:rPr>
              <w:t xml:space="preserve">/п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right="-31"/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Код ГП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Наименование госпрограммы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Количество мероприятий (результатов), запланированных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к</w:t>
            </w:r>
            <w:r>
              <w:rPr>
                <w:i/>
                <w:iCs/>
                <w:sz w:val="22"/>
                <w:szCs w:val="22"/>
                <w:highlight w:val="white"/>
              </w:rPr>
              <w:t xml:space="preserve"> реализации</w:t>
            </w:r>
            <w:r>
              <w:rPr>
                <w:i/>
                <w:iCs/>
                <w:sz w:val="22"/>
                <w:szCs w:val="22"/>
                <w:highlight w:val="white"/>
              </w:rPr>
              <w:t xml:space="preserve">, ед.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Количество выполненных мероприятий (результатов</w:t>
            </w:r>
            <w:r>
              <w:rPr>
                <w:i/>
                <w:iCs/>
                <w:sz w:val="22"/>
                <w:szCs w:val="22"/>
                <w:highlight w:val="white"/>
              </w:rPr>
              <w:t xml:space="preserve">), ед.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Уровень выполнения плановых мероприятий,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%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336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5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32</w:t>
            </w:r>
            <w:r>
              <w:rPr>
                <w:i/>
                <w:color w:val="000000"/>
                <w:sz w:val="22"/>
                <w:szCs w:val="22"/>
              </w:rPr>
            </w:r>
            <w:r>
              <w:rPr>
                <w:i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791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социально-трудовых отношений и содействие занятости населения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c2d69b" w:themeFill="accent3" w:themeFillTint="9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92,84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02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22</w:t>
            </w:r>
            <w:r>
              <w:rPr>
                <w:i/>
                <w:color w:val="000000"/>
                <w:sz w:val="22"/>
                <w:szCs w:val="22"/>
              </w:rPr>
            </w:r>
            <w:r>
              <w:rPr>
                <w:i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791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Доступная среда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d6e3bc" w:themeFill="accent3" w:themeFillTint="6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91,89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3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791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30</w:t>
            </w:r>
            <w:r>
              <w:rPr>
                <w:i/>
                <w:color w:val="000000"/>
                <w:sz w:val="22"/>
                <w:szCs w:val="22"/>
              </w:rPr>
            </w:r>
            <w:r>
              <w:rPr>
                <w:i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791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Социальная поддержка граждан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c00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89,51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качества финансового управления при реализации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государственных</w:t>
      </w:r>
      <w:r>
        <w:rPr>
          <w:b/>
          <w:bCs/>
          <w:sz w:val="28"/>
          <w:szCs w:val="28"/>
        </w:rPr>
        <w:t xml:space="preserve"> программ по итогам 2024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bCs/>
          <w:strike/>
          <w:sz w:val="28"/>
          <w:szCs w:val="28"/>
        </w:rPr>
      </w:pPr>
      <w:r>
        <w:rPr>
          <w:b/>
          <w:bCs/>
          <w:strike/>
          <w:sz w:val="28"/>
          <w:szCs w:val="28"/>
        </w:rPr>
      </w:r>
      <w:r>
        <w:rPr>
          <w:b/>
          <w:bCs/>
          <w:strike/>
          <w:sz w:val="28"/>
          <w:szCs w:val="28"/>
        </w:rPr>
      </w:r>
      <w:r>
        <w:rPr>
          <w:b/>
          <w:bCs/>
          <w:strike/>
          <w:sz w:val="28"/>
          <w:szCs w:val="28"/>
        </w:rPr>
      </w:r>
    </w:p>
    <w:tbl>
      <w:tblPr>
        <w:tblW w:w="5298" w:type="pct"/>
        <w:tblInd w:w="-8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3969"/>
        <w:gridCol w:w="3685"/>
        <w:gridCol w:w="3118"/>
        <w:gridCol w:w="3090"/>
      </w:tblGrid>
      <w:tr>
        <w:tblPrEx/>
        <w:trPr>
          <w:trHeight w:val="39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</w:rPr>
              <w:t xml:space="preserve">п</w:t>
            </w:r>
            <w:r>
              <w:rPr>
                <w:i/>
                <w:iCs/>
                <w:sz w:val="22"/>
                <w:szCs w:val="22"/>
              </w:rPr>
              <w:t xml:space="preserve">/п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</w:rPr>
              <w:t xml:space="preserve">Код ГП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Наименование гос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п</w:t>
            </w:r>
            <w:r>
              <w:rPr>
                <w:bCs/>
                <w:i/>
                <w:iCs/>
                <w:sz w:val="22"/>
                <w:szCs w:val="22"/>
                <w:highlight w:val="white"/>
              </w:rPr>
              <w:t xml:space="preserve">рограммы</w:t>
            </w:r>
            <w:r>
              <w:rPr>
                <w:bCs/>
                <w:sz w:val="22"/>
                <w:szCs w:val="22"/>
                <w:highlight w:val="white"/>
              </w:rPr>
            </w:r>
            <w:r>
              <w:rPr>
                <w:bCs/>
                <w:sz w:val="22"/>
                <w:szCs w:val="22"/>
                <w:highlight w:val="white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Плановый объем бюджетных ассигнований бюджета УР на реализацию госпрограммы,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тыс. руб.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</w:rPr>
              <w:t xml:space="preserve">Кассовое исполнение </w:t>
            </w:r>
            <w:r>
              <w:rPr>
                <w:i/>
                <w:iCs/>
                <w:sz w:val="22"/>
                <w:szCs w:val="22"/>
                <w:highlight w:val="white"/>
              </w:rPr>
              <w:t xml:space="preserve">бюджетных ассигнований бюджета УР на реализацию госпрограммы,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ind w:left="-57" w:right="-57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тыс. руб.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3090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Оценка качества финансового управления, %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i w:val="0"/>
                <w:iCs w:val="0"/>
                <w:color w:val="000000"/>
                <w:sz w:val="22"/>
                <w:szCs w:val="22"/>
              </w:rPr>
            </w:pPr>
            <w:r>
              <w:rPr>
                <w:i w:val="0"/>
                <w:iCs w:val="0"/>
                <w:color w:val="000000"/>
                <w:sz w:val="22"/>
                <w:szCs w:val="22"/>
              </w:rPr>
              <w:t xml:space="preserve">1</w:t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i w:val="0"/>
                <w:iCs w:val="0"/>
                <w:color w:val="000000"/>
                <w:sz w:val="22"/>
                <w:szCs w:val="22"/>
              </w:rPr>
            </w:pPr>
            <w:r>
              <w:rPr>
                <w:i w:val="0"/>
                <w:iCs w:val="0"/>
                <w:color w:val="000000"/>
                <w:sz w:val="22"/>
                <w:szCs w:val="22"/>
              </w:rPr>
              <w:t xml:space="preserve">2</w:t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i w:val="0"/>
                <w:iCs w:val="0"/>
                <w:color w:val="000000"/>
                <w:sz w:val="22"/>
                <w:szCs w:val="22"/>
              </w:rPr>
            </w:pPr>
            <w:r>
              <w:rPr>
                <w:i w:val="0"/>
                <w:iCs w:val="0"/>
                <w:color w:val="000000"/>
                <w:sz w:val="22"/>
                <w:szCs w:val="22"/>
              </w:rPr>
              <w:t xml:space="preserve">3</w:t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</w:p>
        </w:tc>
        <w:tc>
          <w:tcPr>
            <w:tcW w:w="3685" w:type="dxa"/>
            <w:vAlign w:val="center"/>
            <w:textDirection w:val="lrTb"/>
            <w:noWrap/>
          </w:tcPr>
          <w:p>
            <w:pPr>
              <w:jc w:val="center"/>
              <w:rPr>
                <w:i w:val="0"/>
                <w:iCs w:val="0"/>
                <w:color w:val="000000"/>
                <w:sz w:val="22"/>
                <w:szCs w:val="22"/>
              </w:rPr>
            </w:pPr>
            <w:r>
              <w:rPr>
                <w:i w:val="0"/>
                <w:iCs w:val="0"/>
                <w:color w:val="000000"/>
                <w:sz w:val="22"/>
                <w:szCs w:val="22"/>
              </w:rPr>
              <w:t xml:space="preserve">4</w:t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</w:p>
        </w:tc>
        <w:tc>
          <w:tcPr>
            <w:tcW w:w="3118" w:type="dxa"/>
            <w:vAlign w:val="center"/>
            <w:textDirection w:val="lrTb"/>
            <w:noWrap/>
          </w:tcPr>
          <w:p>
            <w:pPr>
              <w:jc w:val="center"/>
              <w:rPr>
                <w:i w:val="0"/>
                <w:iCs w:val="0"/>
                <w:color w:val="000000"/>
                <w:sz w:val="22"/>
                <w:szCs w:val="22"/>
              </w:rPr>
            </w:pPr>
            <w:r>
              <w:rPr>
                <w:i w:val="0"/>
                <w:iCs w:val="0"/>
                <w:color w:val="000000"/>
                <w:sz w:val="22"/>
                <w:szCs w:val="22"/>
              </w:rPr>
              <w:t xml:space="preserve">5</w:t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</w:p>
        </w:tc>
        <w:tc>
          <w:tcPr>
            <w:tcW w:w="3090" w:type="dxa"/>
            <w:vAlign w:val="center"/>
            <w:textDirection w:val="lrTb"/>
            <w:noWrap/>
          </w:tcPr>
          <w:p>
            <w:pPr>
              <w:jc w:val="center"/>
              <w:rPr>
                <w:i w:val="0"/>
                <w:iCs w:val="0"/>
                <w:color w:val="000000"/>
                <w:sz w:val="22"/>
                <w:szCs w:val="22"/>
              </w:rPr>
            </w:pPr>
            <w:r>
              <w:rPr>
                <w:i w:val="0"/>
                <w:iCs w:val="0"/>
                <w:color w:val="000000"/>
                <w:sz w:val="22"/>
                <w:szCs w:val="22"/>
              </w:rPr>
              <w:t xml:space="preserve">6</w:t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  <w:r>
              <w:rPr>
                <w:i w:val="0"/>
                <w:iCs w:val="0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9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30</w:t>
            </w:r>
            <w:r>
              <w:rPr>
                <w:i/>
                <w:iCs/>
                <w:color w:val="000000"/>
                <w:sz w:val="22"/>
                <w:szCs w:val="22"/>
              </w:rPr>
            </w:r>
            <w:r>
              <w:rPr>
                <w:i/>
                <w:iCs/>
                <w:color w:val="000000"/>
                <w:sz w:val="22"/>
                <w:szCs w:val="22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Социальная поддержка граждан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15 396 255,32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15 031 283,4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c2d69b" w:themeFill="accent3" w:themeFillTint="99"/>
            <w:tcW w:w="3090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97,63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39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32</w:t>
            </w:r>
            <w:r>
              <w:rPr>
                <w:i/>
                <w:iCs/>
                <w:color w:val="000000"/>
                <w:sz w:val="22"/>
                <w:szCs w:val="22"/>
              </w:rPr>
            </w:r>
            <w:r>
              <w:rPr>
                <w:i/>
                <w:iCs/>
                <w:color w:val="000000"/>
                <w:sz w:val="22"/>
                <w:szCs w:val="22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Развитие социально-трудовых отношений и содействие занятости населения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705 653,31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685 637,9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c2d69b" w:themeFill="accent3" w:themeFillTint="99"/>
            <w:tcW w:w="3090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97,16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39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22</w:t>
            </w:r>
            <w:r>
              <w:rPr>
                <w:i/>
                <w:iCs/>
                <w:color w:val="000000"/>
                <w:sz w:val="22"/>
                <w:szCs w:val="22"/>
              </w:rPr>
            </w:r>
            <w:r>
              <w:rPr>
                <w:i/>
                <w:iCs/>
                <w:color w:val="000000"/>
                <w:sz w:val="22"/>
                <w:szCs w:val="22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Доступная среда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112 161,81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107 910,46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c2d69b" w:themeFill="accent3" w:themeFillTint="99"/>
            <w:tcW w:w="3090" w:type="dxa"/>
            <w:vAlign w:val="center"/>
            <w:textDirection w:val="lrTb"/>
            <w:noWrap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96,21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6838" w:h="11906" w:orient="landscape"/>
      <w:pgMar w:top="567" w:right="850" w:bottom="850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Verdana">
    <w:panose1 w:val="020B0606030504020204"/>
  </w:font>
  <w:font w:name="Tahoma">
    <w:panose1 w:val="020B060603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4"/>
      <w:jc w:val="center"/>
    </w:pPr>
    <w:r/>
    <w:r/>
  </w:p>
  <w:p>
    <w:pPr>
      <w:pStyle w:val="96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40200740"/>
      <w:docPartObj>
        <w:docPartGallery w:val="Page Numbers (Top of Page)"/>
        <w:docPartUnique w:val="true"/>
      </w:docPartObj>
      <w:rPr/>
    </w:sdtPr>
    <w:sdtContent>
      <w:p>
        <w:pPr>
          <w:pStyle w:val="95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</w:t>
        </w:r>
        <w:r>
          <w:fldChar w:fldCharType="end"/>
        </w:r>
        <w:r/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0"/>
      <w:rPr>
        <w:rStyle w:val="951"/>
      </w:rPr>
      <w:framePr w:wrap="around" w:vAnchor="text" w:hAnchor="margin" w:xAlign="center" w:y="1"/>
    </w:pPr>
    <w:r>
      <w:rPr>
        <w:rStyle w:val="951"/>
      </w:rPr>
      <w:fldChar w:fldCharType="begin"/>
    </w:r>
    <w:r>
      <w:rPr>
        <w:rStyle w:val="951"/>
      </w:rPr>
      <w:instrText xml:space="preserve">PAGE  </w:instrText>
    </w:r>
    <w:r>
      <w:rPr>
        <w:rStyle w:val="951"/>
      </w:rPr>
      <w:fldChar w:fldCharType="end"/>
    </w:r>
    <w:r>
      <w:rPr>
        <w:rStyle w:val="951"/>
      </w:rPr>
    </w:r>
    <w:r>
      <w:rPr>
        <w:rStyle w:val="951"/>
      </w:rPr>
    </w:r>
  </w:p>
  <w:p>
    <w:pPr>
      <w:pStyle w:val="95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489" w:hanging="7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630" w:hanging="78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213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85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7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23"/>
  </w:num>
  <w:num w:numId="3">
    <w:abstractNumId w:val="11"/>
  </w:num>
  <w:num w:numId="4">
    <w:abstractNumId w:val="6"/>
  </w:num>
  <w:num w:numId="5">
    <w:abstractNumId w:val="7"/>
  </w:num>
  <w:num w:numId="6">
    <w:abstractNumId w:val="1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17"/>
  </w:num>
  <w:num w:numId="11">
    <w:abstractNumId w:val="15"/>
  </w:num>
  <w:num w:numId="12">
    <w:abstractNumId w:val="13"/>
  </w:num>
  <w:num w:numId="13">
    <w:abstractNumId w:val="1"/>
  </w:num>
  <w:num w:numId="14">
    <w:abstractNumId w:val="21"/>
  </w:num>
  <w:num w:numId="15">
    <w:abstractNumId w:val="8"/>
  </w:num>
  <w:num w:numId="16">
    <w:abstractNumId w:val="22"/>
  </w:num>
  <w:num w:numId="17">
    <w:abstractNumId w:val="5"/>
  </w:num>
  <w:num w:numId="18">
    <w:abstractNumId w:val="19"/>
  </w:num>
  <w:num w:numId="19">
    <w:abstractNumId w:val="9"/>
  </w:num>
  <w:num w:numId="20">
    <w:abstractNumId w:val="0"/>
  </w:num>
  <w:num w:numId="21">
    <w:abstractNumId w:val="2"/>
  </w:num>
  <w:num w:numId="22">
    <w:abstractNumId w:val="16"/>
  </w:num>
  <w:num w:numId="23">
    <w:abstractNumId w:val="20"/>
  </w:num>
  <w:num w:numId="24">
    <w:abstractNumId w:val="14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5">
    <w:name w:val="Heading 1 Char"/>
    <w:basedOn w:val="779"/>
    <w:link w:val="770"/>
    <w:uiPriority w:val="9"/>
    <w:rPr>
      <w:rFonts w:ascii="Arial" w:hAnsi="Arial" w:eastAsia="Arial" w:cs="Arial"/>
      <w:sz w:val="40"/>
      <w:szCs w:val="40"/>
    </w:rPr>
  </w:style>
  <w:style w:type="character" w:styleId="756">
    <w:name w:val="Heading 2 Char"/>
    <w:basedOn w:val="779"/>
    <w:link w:val="771"/>
    <w:uiPriority w:val="9"/>
    <w:rPr>
      <w:rFonts w:ascii="Arial" w:hAnsi="Arial" w:eastAsia="Arial" w:cs="Arial"/>
      <w:sz w:val="34"/>
    </w:rPr>
  </w:style>
  <w:style w:type="character" w:styleId="757">
    <w:name w:val="Heading 3 Char"/>
    <w:basedOn w:val="779"/>
    <w:link w:val="772"/>
    <w:uiPriority w:val="9"/>
    <w:rPr>
      <w:rFonts w:ascii="Arial" w:hAnsi="Arial" w:eastAsia="Arial" w:cs="Arial"/>
      <w:sz w:val="30"/>
      <w:szCs w:val="30"/>
    </w:rPr>
  </w:style>
  <w:style w:type="character" w:styleId="758">
    <w:name w:val="Heading 4 Char"/>
    <w:basedOn w:val="779"/>
    <w:link w:val="773"/>
    <w:uiPriority w:val="9"/>
    <w:rPr>
      <w:rFonts w:ascii="Arial" w:hAnsi="Arial" w:eastAsia="Arial" w:cs="Arial"/>
      <w:b/>
      <w:bCs/>
      <w:sz w:val="26"/>
      <w:szCs w:val="26"/>
    </w:rPr>
  </w:style>
  <w:style w:type="character" w:styleId="759">
    <w:name w:val="Heading 5 Char"/>
    <w:basedOn w:val="779"/>
    <w:link w:val="774"/>
    <w:uiPriority w:val="9"/>
    <w:rPr>
      <w:rFonts w:ascii="Arial" w:hAnsi="Arial" w:eastAsia="Arial" w:cs="Arial"/>
      <w:b/>
      <w:bCs/>
      <w:sz w:val="24"/>
      <w:szCs w:val="24"/>
    </w:rPr>
  </w:style>
  <w:style w:type="character" w:styleId="760">
    <w:name w:val="Heading 6 Char"/>
    <w:basedOn w:val="779"/>
    <w:link w:val="775"/>
    <w:uiPriority w:val="9"/>
    <w:rPr>
      <w:rFonts w:ascii="Arial" w:hAnsi="Arial" w:eastAsia="Arial" w:cs="Arial"/>
      <w:b/>
      <w:bCs/>
      <w:sz w:val="22"/>
      <w:szCs w:val="22"/>
    </w:rPr>
  </w:style>
  <w:style w:type="character" w:styleId="761">
    <w:name w:val="Heading 7 Char"/>
    <w:basedOn w:val="779"/>
    <w:link w:val="7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2">
    <w:name w:val="Heading 8 Char"/>
    <w:basedOn w:val="779"/>
    <w:link w:val="777"/>
    <w:uiPriority w:val="9"/>
    <w:rPr>
      <w:rFonts w:ascii="Arial" w:hAnsi="Arial" w:eastAsia="Arial" w:cs="Arial"/>
      <w:i/>
      <w:iCs/>
      <w:sz w:val="22"/>
      <w:szCs w:val="22"/>
    </w:rPr>
  </w:style>
  <w:style w:type="character" w:styleId="763">
    <w:name w:val="Heading 9 Char"/>
    <w:basedOn w:val="779"/>
    <w:link w:val="778"/>
    <w:uiPriority w:val="9"/>
    <w:rPr>
      <w:rFonts w:ascii="Arial" w:hAnsi="Arial" w:eastAsia="Arial" w:cs="Arial"/>
      <w:i/>
      <w:iCs/>
      <w:sz w:val="21"/>
      <w:szCs w:val="21"/>
    </w:rPr>
  </w:style>
  <w:style w:type="character" w:styleId="764">
    <w:name w:val="Title Char"/>
    <w:basedOn w:val="779"/>
    <w:link w:val="792"/>
    <w:uiPriority w:val="10"/>
    <w:rPr>
      <w:sz w:val="48"/>
      <w:szCs w:val="48"/>
    </w:rPr>
  </w:style>
  <w:style w:type="character" w:styleId="765">
    <w:name w:val="Subtitle Char"/>
    <w:basedOn w:val="779"/>
    <w:link w:val="794"/>
    <w:uiPriority w:val="11"/>
    <w:rPr>
      <w:sz w:val="24"/>
      <w:szCs w:val="24"/>
    </w:rPr>
  </w:style>
  <w:style w:type="character" w:styleId="766">
    <w:name w:val="Quote Char"/>
    <w:link w:val="796"/>
    <w:uiPriority w:val="29"/>
    <w:rPr>
      <w:i/>
    </w:rPr>
  </w:style>
  <w:style w:type="character" w:styleId="767">
    <w:name w:val="Intense Quote Char"/>
    <w:link w:val="798"/>
    <w:uiPriority w:val="30"/>
    <w:rPr>
      <w:i/>
    </w:rPr>
  </w:style>
  <w:style w:type="character" w:styleId="768">
    <w:name w:val="Endnote Text Char"/>
    <w:link w:val="932"/>
    <w:uiPriority w:val="99"/>
    <w:rPr>
      <w:sz w:val="20"/>
    </w:rPr>
  </w:style>
  <w:style w:type="paragraph" w:styleId="769" w:default="1">
    <w:name w:val="Normal"/>
    <w:qFormat/>
    <w:rPr>
      <w:sz w:val="24"/>
      <w:szCs w:val="24"/>
    </w:rPr>
  </w:style>
  <w:style w:type="paragraph" w:styleId="770">
    <w:name w:val="Heading 1"/>
    <w:basedOn w:val="769"/>
    <w:next w:val="769"/>
    <w:link w:val="78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71">
    <w:name w:val="Heading 2"/>
    <w:basedOn w:val="769"/>
    <w:next w:val="769"/>
    <w:link w:val="7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72">
    <w:name w:val="Heading 3"/>
    <w:basedOn w:val="769"/>
    <w:next w:val="769"/>
    <w:link w:val="7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3">
    <w:name w:val="Heading 4"/>
    <w:basedOn w:val="769"/>
    <w:next w:val="769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4">
    <w:name w:val="Heading 5"/>
    <w:basedOn w:val="769"/>
    <w:next w:val="769"/>
    <w:link w:val="7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75">
    <w:name w:val="Heading 6"/>
    <w:basedOn w:val="769"/>
    <w:next w:val="769"/>
    <w:link w:val="7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6">
    <w:name w:val="Heading 7"/>
    <w:basedOn w:val="769"/>
    <w:next w:val="769"/>
    <w:link w:val="7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7">
    <w:name w:val="Heading 8"/>
    <w:basedOn w:val="769"/>
    <w:next w:val="769"/>
    <w:link w:val="7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8">
    <w:name w:val="Heading 9"/>
    <w:basedOn w:val="769"/>
    <w:next w:val="769"/>
    <w:link w:val="79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9" w:default="1">
    <w:name w:val="Default Paragraph Font"/>
    <w:uiPriority w:val="1"/>
    <w:semiHidden/>
    <w:unhideWhenUsed/>
  </w:style>
  <w:style w:type="table" w:styleId="7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1" w:default="1">
    <w:name w:val="No List"/>
    <w:uiPriority w:val="99"/>
    <w:semiHidden/>
    <w:unhideWhenUsed/>
  </w:style>
  <w:style w:type="character" w:styleId="782" w:customStyle="1">
    <w:name w:val="Заголовок 1 Знак"/>
    <w:basedOn w:val="779"/>
    <w:link w:val="770"/>
    <w:uiPriority w:val="9"/>
    <w:rPr>
      <w:rFonts w:ascii="Arial" w:hAnsi="Arial" w:eastAsia="Arial" w:cs="Arial"/>
      <w:sz w:val="40"/>
      <w:szCs w:val="40"/>
    </w:rPr>
  </w:style>
  <w:style w:type="character" w:styleId="783" w:customStyle="1">
    <w:name w:val="Заголовок 2 Знак"/>
    <w:basedOn w:val="779"/>
    <w:link w:val="771"/>
    <w:uiPriority w:val="9"/>
    <w:rPr>
      <w:rFonts w:ascii="Arial" w:hAnsi="Arial" w:eastAsia="Arial" w:cs="Arial"/>
      <w:sz w:val="34"/>
    </w:rPr>
  </w:style>
  <w:style w:type="character" w:styleId="784" w:customStyle="1">
    <w:name w:val="Заголовок 3 Знак"/>
    <w:basedOn w:val="779"/>
    <w:link w:val="772"/>
    <w:uiPriority w:val="9"/>
    <w:rPr>
      <w:rFonts w:ascii="Arial" w:hAnsi="Arial" w:eastAsia="Arial" w:cs="Arial"/>
      <w:sz w:val="30"/>
      <w:szCs w:val="30"/>
    </w:rPr>
  </w:style>
  <w:style w:type="character" w:styleId="785" w:customStyle="1">
    <w:name w:val="Заголовок 4 Знак"/>
    <w:basedOn w:val="779"/>
    <w:link w:val="773"/>
    <w:uiPriority w:val="9"/>
    <w:rPr>
      <w:rFonts w:ascii="Arial" w:hAnsi="Arial" w:eastAsia="Arial" w:cs="Arial"/>
      <w:b/>
      <w:bCs/>
      <w:sz w:val="26"/>
      <w:szCs w:val="26"/>
    </w:rPr>
  </w:style>
  <w:style w:type="character" w:styleId="786" w:customStyle="1">
    <w:name w:val="Заголовок 5 Знак"/>
    <w:basedOn w:val="779"/>
    <w:link w:val="774"/>
    <w:uiPriority w:val="9"/>
    <w:rPr>
      <w:rFonts w:ascii="Arial" w:hAnsi="Arial" w:eastAsia="Arial" w:cs="Arial"/>
      <w:b/>
      <w:bCs/>
      <w:sz w:val="24"/>
      <w:szCs w:val="24"/>
    </w:rPr>
  </w:style>
  <w:style w:type="character" w:styleId="787" w:customStyle="1">
    <w:name w:val="Заголовок 6 Знак"/>
    <w:basedOn w:val="779"/>
    <w:link w:val="775"/>
    <w:uiPriority w:val="9"/>
    <w:rPr>
      <w:rFonts w:ascii="Arial" w:hAnsi="Arial" w:eastAsia="Arial" w:cs="Arial"/>
      <w:b/>
      <w:bCs/>
      <w:sz w:val="22"/>
      <w:szCs w:val="22"/>
    </w:rPr>
  </w:style>
  <w:style w:type="character" w:styleId="788" w:customStyle="1">
    <w:name w:val="Заголовок 7 Знак"/>
    <w:basedOn w:val="779"/>
    <w:link w:val="7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9" w:customStyle="1">
    <w:name w:val="Заголовок 8 Знак"/>
    <w:basedOn w:val="779"/>
    <w:link w:val="777"/>
    <w:uiPriority w:val="9"/>
    <w:rPr>
      <w:rFonts w:ascii="Arial" w:hAnsi="Arial" w:eastAsia="Arial" w:cs="Arial"/>
      <w:i/>
      <w:iCs/>
      <w:sz w:val="22"/>
      <w:szCs w:val="22"/>
    </w:rPr>
  </w:style>
  <w:style w:type="character" w:styleId="790" w:customStyle="1">
    <w:name w:val="Заголовок 9 Знак"/>
    <w:basedOn w:val="779"/>
    <w:link w:val="778"/>
    <w:uiPriority w:val="9"/>
    <w:rPr>
      <w:rFonts w:ascii="Arial" w:hAnsi="Arial" w:eastAsia="Arial" w:cs="Arial"/>
      <w:i/>
      <w:iCs/>
      <w:sz w:val="21"/>
      <w:szCs w:val="21"/>
    </w:rPr>
  </w:style>
  <w:style w:type="paragraph" w:styleId="791">
    <w:name w:val="No Spacing"/>
    <w:uiPriority w:val="1"/>
    <w:qFormat/>
  </w:style>
  <w:style w:type="paragraph" w:styleId="792">
    <w:name w:val="Title"/>
    <w:basedOn w:val="769"/>
    <w:next w:val="769"/>
    <w:link w:val="7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3" w:customStyle="1">
    <w:name w:val="Название Знак"/>
    <w:basedOn w:val="779"/>
    <w:link w:val="792"/>
    <w:uiPriority w:val="10"/>
    <w:rPr>
      <w:sz w:val="48"/>
      <w:szCs w:val="48"/>
    </w:rPr>
  </w:style>
  <w:style w:type="paragraph" w:styleId="794">
    <w:name w:val="Subtitle"/>
    <w:basedOn w:val="769"/>
    <w:next w:val="769"/>
    <w:link w:val="795"/>
    <w:uiPriority w:val="11"/>
    <w:qFormat/>
    <w:pPr>
      <w:spacing w:before="200" w:after="200"/>
    </w:pPr>
  </w:style>
  <w:style w:type="character" w:styleId="795" w:customStyle="1">
    <w:name w:val="Подзаголовок Знак"/>
    <w:basedOn w:val="779"/>
    <w:link w:val="794"/>
    <w:uiPriority w:val="11"/>
    <w:rPr>
      <w:sz w:val="24"/>
      <w:szCs w:val="24"/>
    </w:rPr>
  </w:style>
  <w:style w:type="paragraph" w:styleId="796">
    <w:name w:val="Quote"/>
    <w:basedOn w:val="769"/>
    <w:next w:val="769"/>
    <w:link w:val="797"/>
    <w:uiPriority w:val="29"/>
    <w:qFormat/>
    <w:pPr>
      <w:ind w:left="720" w:right="720"/>
    </w:pPr>
    <w:rPr>
      <w:i/>
    </w:rPr>
  </w:style>
  <w:style w:type="character" w:styleId="797" w:customStyle="1">
    <w:name w:val="Цитата 2 Знак"/>
    <w:link w:val="796"/>
    <w:uiPriority w:val="29"/>
    <w:rPr>
      <w:i/>
    </w:rPr>
  </w:style>
  <w:style w:type="paragraph" w:styleId="798">
    <w:name w:val="Intense Quote"/>
    <w:basedOn w:val="769"/>
    <w:next w:val="769"/>
    <w:link w:val="79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9" w:customStyle="1">
    <w:name w:val="Выделенная цитата Знак"/>
    <w:link w:val="798"/>
    <w:uiPriority w:val="30"/>
    <w:rPr>
      <w:i/>
    </w:rPr>
  </w:style>
  <w:style w:type="character" w:styleId="800" w:customStyle="1">
    <w:name w:val="Header Char"/>
    <w:basedOn w:val="779"/>
    <w:uiPriority w:val="99"/>
  </w:style>
  <w:style w:type="character" w:styleId="801" w:customStyle="1">
    <w:name w:val="Footer Char"/>
    <w:basedOn w:val="779"/>
    <w:uiPriority w:val="99"/>
  </w:style>
  <w:style w:type="paragraph" w:styleId="802">
    <w:name w:val="Caption"/>
    <w:basedOn w:val="769"/>
    <w:next w:val="769"/>
    <w:link w:val="8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3" w:customStyle="1">
    <w:name w:val="Caption Char"/>
    <w:uiPriority w:val="99"/>
  </w:style>
  <w:style w:type="table" w:styleId="804">
    <w:name w:val="Table Grid"/>
    <w:basedOn w:val="78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5" w:customStyle="1">
    <w:name w:val="Table Grid Light"/>
    <w:basedOn w:val="78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>
    <w:name w:val="Plain Table 1"/>
    <w:basedOn w:val="78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>
    <w:name w:val="Plain Table 2"/>
    <w:basedOn w:val="780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>
    <w:name w:val="Plain Table 3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9">
    <w:name w:val="Plain Table 4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Plain Table 5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>
    <w:name w:val="Grid Table 1 Light"/>
    <w:basedOn w:val="780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1"/>
    <w:basedOn w:val="780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2"/>
    <w:basedOn w:val="780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3"/>
    <w:basedOn w:val="780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4"/>
    <w:basedOn w:val="780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5"/>
    <w:basedOn w:val="780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6"/>
    <w:basedOn w:val="780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2"/>
    <w:basedOn w:val="78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1"/>
    <w:basedOn w:val="780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2"/>
    <w:basedOn w:val="780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3"/>
    <w:basedOn w:val="780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4"/>
    <w:basedOn w:val="780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5"/>
    <w:basedOn w:val="780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6"/>
    <w:basedOn w:val="780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"/>
    <w:basedOn w:val="780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1"/>
    <w:basedOn w:val="780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2"/>
    <w:basedOn w:val="780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3"/>
    <w:basedOn w:val="780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4"/>
    <w:basedOn w:val="780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5"/>
    <w:basedOn w:val="780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6"/>
    <w:basedOn w:val="780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4"/>
    <w:basedOn w:val="780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3" w:customStyle="1">
    <w:name w:val="Grid Table 4 - Accent 1"/>
    <w:basedOn w:val="780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4" w:customStyle="1">
    <w:name w:val="Grid Table 4 - Accent 2"/>
    <w:basedOn w:val="780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5" w:customStyle="1">
    <w:name w:val="Grid Table 4 - Accent 3"/>
    <w:basedOn w:val="780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6" w:customStyle="1">
    <w:name w:val="Grid Table 4 - Accent 4"/>
    <w:basedOn w:val="780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7" w:customStyle="1">
    <w:name w:val="Grid Table 4 - Accent 5"/>
    <w:basedOn w:val="780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8" w:customStyle="1">
    <w:name w:val="Grid Table 4 - Accent 6"/>
    <w:basedOn w:val="780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9">
    <w:name w:val="Grid Table 5 Dark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1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2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3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- Accent 4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 - Accent 5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6"/>
    <w:basedOn w:val="780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6">
    <w:name w:val="Grid Table 6 Colorful"/>
    <w:basedOn w:val="78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7" w:customStyle="1">
    <w:name w:val="Grid Table 6 Colorful - Accent 1"/>
    <w:basedOn w:val="780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8" w:customStyle="1">
    <w:name w:val="Grid Table 6 Colorful - Accent 2"/>
    <w:basedOn w:val="780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9" w:customStyle="1">
    <w:name w:val="Grid Table 6 Colorful - Accent 3"/>
    <w:basedOn w:val="780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0" w:customStyle="1">
    <w:name w:val="Grid Table 6 Colorful - Accent 4"/>
    <w:basedOn w:val="780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1" w:customStyle="1">
    <w:name w:val="Grid Table 6 Colorful - Accent 5"/>
    <w:basedOn w:val="780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2" w:customStyle="1">
    <w:name w:val="Grid Table 6 Colorful - Accent 6"/>
    <w:basedOn w:val="780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3">
    <w:name w:val="Grid Table 7 Colorful"/>
    <w:basedOn w:val="780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7 Colorful - Accent 1"/>
    <w:basedOn w:val="780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7 Colorful - Accent 2"/>
    <w:basedOn w:val="780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7 Colorful - Accent 3"/>
    <w:basedOn w:val="780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7 Colorful - Accent 4"/>
    <w:basedOn w:val="780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7 Colorful - Accent 5"/>
    <w:basedOn w:val="780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7 Colorful - Accent 6"/>
    <w:basedOn w:val="780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1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2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3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4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5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6"/>
    <w:basedOn w:val="780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2"/>
    <w:basedOn w:val="780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1"/>
    <w:basedOn w:val="780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2"/>
    <w:basedOn w:val="780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3"/>
    <w:basedOn w:val="780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4"/>
    <w:basedOn w:val="780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5"/>
    <w:basedOn w:val="780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6"/>
    <w:basedOn w:val="780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4">
    <w:name w:val="List Table 3"/>
    <w:basedOn w:val="78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1"/>
    <w:basedOn w:val="780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2"/>
    <w:basedOn w:val="780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3"/>
    <w:basedOn w:val="780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4"/>
    <w:basedOn w:val="780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5"/>
    <w:basedOn w:val="780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6"/>
    <w:basedOn w:val="780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"/>
    <w:basedOn w:val="780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1"/>
    <w:basedOn w:val="780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2"/>
    <w:basedOn w:val="780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3"/>
    <w:basedOn w:val="780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4"/>
    <w:basedOn w:val="780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5"/>
    <w:basedOn w:val="780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6"/>
    <w:basedOn w:val="780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5 Dark"/>
    <w:basedOn w:val="78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1"/>
    <w:basedOn w:val="780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2"/>
    <w:basedOn w:val="780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3"/>
    <w:basedOn w:val="780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4"/>
    <w:basedOn w:val="780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5"/>
    <w:basedOn w:val="780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6"/>
    <w:basedOn w:val="780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>
    <w:name w:val="List Table 6 Colorful"/>
    <w:basedOn w:val="780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6" w:customStyle="1">
    <w:name w:val="List Table 6 Colorful - Accent 1"/>
    <w:basedOn w:val="780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7" w:customStyle="1">
    <w:name w:val="List Table 6 Colorful - Accent 2"/>
    <w:basedOn w:val="780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8" w:customStyle="1">
    <w:name w:val="List Table 6 Colorful - Accent 3"/>
    <w:basedOn w:val="780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9" w:customStyle="1">
    <w:name w:val="List Table 6 Colorful - Accent 4"/>
    <w:basedOn w:val="780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0" w:customStyle="1">
    <w:name w:val="List Table 6 Colorful - Accent 5"/>
    <w:basedOn w:val="780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1" w:customStyle="1">
    <w:name w:val="List Table 6 Colorful - Accent 6"/>
    <w:basedOn w:val="780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2">
    <w:name w:val="List Table 7 Colorful"/>
    <w:basedOn w:val="780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7 Colorful - Accent 1"/>
    <w:basedOn w:val="780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7 Colorful - Accent 2"/>
    <w:basedOn w:val="780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7 Colorful - Accent 3"/>
    <w:basedOn w:val="780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7 Colorful - Accent 4"/>
    <w:basedOn w:val="780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7 Colorful - Accent 5"/>
    <w:basedOn w:val="780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7 Colorful - Accent 6"/>
    <w:basedOn w:val="780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ned - Accent"/>
    <w:basedOn w:val="78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0" w:customStyle="1">
    <w:name w:val="Lined - Accent 1"/>
    <w:basedOn w:val="78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1" w:customStyle="1">
    <w:name w:val="Lined - Accent 2"/>
    <w:basedOn w:val="78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2" w:customStyle="1">
    <w:name w:val="Lined - Accent 3"/>
    <w:basedOn w:val="78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3" w:customStyle="1">
    <w:name w:val="Lined - Accent 4"/>
    <w:basedOn w:val="78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4" w:customStyle="1">
    <w:name w:val="Lined - Accent 5"/>
    <w:basedOn w:val="78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5" w:customStyle="1">
    <w:name w:val="Lined - Accent 6"/>
    <w:basedOn w:val="780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6" w:customStyle="1">
    <w:name w:val="Bordered &amp; Lined - Accent"/>
    <w:basedOn w:val="78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7" w:customStyle="1">
    <w:name w:val="Bordered &amp; Lined - Accent 1"/>
    <w:basedOn w:val="78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8" w:customStyle="1">
    <w:name w:val="Bordered &amp; Lined - Accent 2"/>
    <w:basedOn w:val="78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9" w:customStyle="1">
    <w:name w:val="Bordered &amp; Lined - Accent 3"/>
    <w:basedOn w:val="78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0" w:customStyle="1">
    <w:name w:val="Bordered &amp; Lined - Accent 4"/>
    <w:basedOn w:val="78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1" w:customStyle="1">
    <w:name w:val="Bordered &amp; Lined - Accent 5"/>
    <w:basedOn w:val="78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2" w:customStyle="1">
    <w:name w:val="Bordered &amp; Lined - Accent 6"/>
    <w:basedOn w:val="780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3" w:customStyle="1">
    <w:name w:val="Bordered"/>
    <w:basedOn w:val="780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4" w:customStyle="1">
    <w:name w:val="Bordered - Accent 1"/>
    <w:basedOn w:val="780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5" w:customStyle="1">
    <w:name w:val="Bordered - Accent 2"/>
    <w:basedOn w:val="780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6" w:customStyle="1">
    <w:name w:val="Bordered - Accent 3"/>
    <w:basedOn w:val="780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7" w:customStyle="1">
    <w:name w:val="Bordered - Accent 4"/>
    <w:basedOn w:val="780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8" w:customStyle="1">
    <w:name w:val="Bordered - Accent 5"/>
    <w:basedOn w:val="780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9" w:customStyle="1">
    <w:name w:val="Bordered - Accent 6"/>
    <w:basedOn w:val="780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0" w:customStyle="1">
    <w:name w:val="Footnote Text Char"/>
    <w:uiPriority w:val="99"/>
    <w:rPr>
      <w:sz w:val="18"/>
    </w:rPr>
  </w:style>
  <w:style w:type="character" w:styleId="931">
    <w:name w:val="footnote reference"/>
    <w:basedOn w:val="779"/>
    <w:uiPriority w:val="99"/>
    <w:unhideWhenUsed/>
    <w:rPr>
      <w:vertAlign w:val="superscript"/>
    </w:rPr>
  </w:style>
  <w:style w:type="paragraph" w:styleId="932">
    <w:name w:val="endnote text"/>
    <w:basedOn w:val="769"/>
    <w:link w:val="933"/>
    <w:uiPriority w:val="99"/>
    <w:semiHidden/>
    <w:unhideWhenUsed/>
    <w:rPr>
      <w:sz w:val="20"/>
    </w:rPr>
  </w:style>
  <w:style w:type="character" w:styleId="933" w:customStyle="1">
    <w:name w:val="Текст концевой сноски Знак"/>
    <w:link w:val="932"/>
    <w:uiPriority w:val="99"/>
    <w:rPr>
      <w:sz w:val="20"/>
    </w:rPr>
  </w:style>
  <w:style w:type="character" w:styleId="934">
    <w:name w:val="endnote reference"/>
    <w:basedOn w:val="779"/>
    <w:uiPriority w:val="99"/>
    <w:semiHidden/>
    <w:unhideWhenUsed/>
    <w:rPr>
      <w:vertAlign w:val="superscript"/>
    </w:rPr>
  </w:style>
  <w:style w:type="paragraph" w:styleId="935">
    <w:name w:val="toc 1"/>
    <w:basedOn w:val="769"/>
    <w:next w:val="769"/>
    <w:uiPriority w:val="39"/>
    <w:unhideWhenUsed/>
    <w:pPr>
      <w:spacing w:after="57"/>
    </w:pPr>
  </w:style>
  <w:style w:type="paragraph" w:styleId="936">
    <w:name w:val="toc 2"/>
    <w:basedOn w:val="769"/>
    <w:next w:val="769"/>
    <w:uiPriority w:val="39"/>
    <w:unhideWhenUsed/>
    <w:pPr>
      <w:ind w:left="283"/>
      <w:spacing w:after="57"/>
    </w:pPr>
  </w:style>
  <w:style w:type="paragraph" w:styleId="937">
    <w:name w:val="toc 3"/>
    <w:basedOn w:val="769"/>
    <w:next w:val="769"/>
    <w:uiPriority w:val="39"/>
    <w:unhideWhenUsed/>
    <w:pPr>
      <w:ind w:left="567"/>
      <w:spacing w:after="57"/>
    </w:pPr>
  </w:style>
  <w:style w:type="paragraph" w:styleId="938">
    <w:name w:val="toc 4"/>
    <w:basedOn w:val="769"/>
    <w:next w:val="769"/>
    <w:uiPriority w:val="39"/>
    <w:unhideWhenUsed/>
    <w:pPr>
      <w:ind w:left="850"/>
      <w:spacing w:after="57"/>
    </w:pPr>
  </w:style>
  <w:style w:type="paragraph" w:styleId="939">
    <w:name w:val="toc 5"/>
    <w:basedOn w:val="769"/>
    <w:next w:val="769"/>
    <w:uiPriority w:val="39"/>
    <w:unhideWhenUsed/>
    <w:pPr>
      <w:ind w:left="1134"/>
      <w:spacing w:after="57"/>
    </w:pPr>
  </w:style>
  <w:style w:type="paragraph" w:styleId="940">
    <w:name w:val="toc 6"/>
    <w:basedOn w:val="769"/>
    <w:next w:val="769"/>
    <w:uiPriority w:val="39"/>
    <w:unhideWhenUsed/>
    <w:pPr>
      <w:ind w:left="1417"/>
      <w:spacing w:after="57"/>
    </w:pPr>
  </w:style>
  <w:style w:type="paragraph" w:styleId="941">
    <w:name w:val="toc 7"/>
    <w:basedOn w:val="769"/>
    <w:next w:val="769"/>
    <w:uiPriority w:val="39"/>
    <w:unhideWhenUsed/>
    <w:pPr>
      <w:ind w:left="1701"/>
      <w:spacing w:after="57"/>
    </w:pPr>
  </w:style>
  <w:style w:type="paragraph" w:styleId="942">
    <w:name w:val="toc 8"/>
    <w:basedOn w:val="769"/>
    <w:next w:val="769"/>
    <w:uiPriority w:val="39"/>
    <w:unhideWhenUsed/>
    <w:pPr>
      <w:ind w:left="1984"/>
      <w:spacing w:after="57"/>
    </w:pPr>
  </w:style>
  <w:style w:type="paragraph" w:styleId="943">
    <w:name w:val="toc 9"/>
    <w:basedOn w:val="769"/>
    <w:next w:val="769"/>
    <w:uiPriority w:val="39"/>
    <w:unhideWhenUsed/>
    <w:pPr>
      <w:ind w:left="2268"/>
      <w:spacing w:after="57"/>
    </w:pPr>
  </w:style>
  <w:style w:type="paragraph" w:styleId="944">
    <w:name w:val="TOC Heading"/>
    <w:uiPriority w:val="39"/>
    <w:unhideWhenUsed/>
  </w:style>
  <w:style w:type="paragraph" w:styleId="945">
    <w:name w:val="table of figures"/>
    <w:basedOn w:val="769"/>
    <w:next w:val="769"/>
    <w:uiPriority w:val="99"/>
    <w:unhideWhenUsed/>
  </w:style>
  <w:style w:type="paragraph" w:styleId="946" w:customStyle="1">
    <w:name w:val="Знак Знак Знак Знак Знак Знак Знак Знак Знак Знак"/>
    <w:basedOn w:val="76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947" w:customStyle="1">
    <w:name w:val="Знак Знак Знак Знак Знак Знак Знак"/>
    <w:basedOn w:val="76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948">
    <w:name w:val="Balloon Text"/>
    <w:basedOn w:val="769"/>
    <w:link w:val="971"/>
    <w:uiPriority w:val="99"/>
    <w:semiHidden/>
    <w:rPr>
      <w:rFonts w:ascii="Tahoma" w:hAnsi="Tahoma" w:cs="Tahoma"/>
      <w:sz w:val="16"/>
      <w:szCs w:val="16"/>
    </w:rPr>
  </w:style>
  <w:style w:type="paragraph" w:styleId="949" w:customStyle="1">
    <w:name w:val="1"/>
    <w:basedOn w:val="76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950">
    <w:name w:val="Header"/>
    <w:basedOn w:val="769"/>
    <w:link w:val="966"/>
    <w:uiPriority w:val="99"/>
    <w:pPr>
      <w:tabs>
        <w:tab w:val="center" w:pos="4677" w:leader="none"/>
        <w:tab w:val="right" w:pos="9355" w:leader="none"/>
      </w:tabs>
    </w:pPr>
  </w:style>
  <w:style w:type="character" w:styleId="951">
    <w:name w:val="page number"/>
    <w:basedOn w:val="779"/>
    <w:uiPriority w:val="99"/>
  </w:style>
  <w:style w:type="paragraph" w:styleId="952" w:customStyle="1">
    <w:name w:val="Знак Знак1 Знак Знак Знак Знак Знак Знак Знак1 Знак Знак Знак"/>
    <w:basedOn w:val="76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953" w:customStyle="1">
    <w:name w:val="Абзац1 c отступом"/>
    <w:basedOn w:val="769"/>
    <w:pPr>
      <w:ind w:firstLine="709"/>
      <w:jc w:val="both"/>
      <w:spacing w:after="60" w:line="360" w:lineRule="exact"/>
    </w:pPr>
    <w:rPr>
      <w:sz w:val="28"/>
      <w:szCs w:val="20"/>
    </w:rPr>
  </w:style>
  <w:style w:type="paragraph" w:styleId="954" w:customStyle="1">
    <w:name w:val="Знак Знак Знак Знак Знак Знак Знак Знак Знак1 Знак"/>
    <w:basedOn w:val="76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955" w:customStyle="1">
    <w:name w:val="Знак Знак1"/>
    <w:basedOn w:val="7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956">
    <w:name w:val="footnote text"/>
    <w:basedOn w:val="769"/>
    <w:link w:val="972"/>
    <w:uiPriority w:val="99"/>
    <w:semiHidden/>
    <w:rPr>
      <w:sz w:val="20"/>
      <w:szCs w:val="20"/>
    </w:rPr>
  </w:style>
  <w:style w:type="paragraph" w:styleId="957" w:customStyle="1">
    <w:name w:val="Знак Знак Знак Знак Знак Знак"/>
    <w:basedOn w:val="76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958" w:customStyle="1">
    <w:name w:val="ConsPlusNormal"/>
    <w:rPr>
      <w:rFonts w:ascii="Arial" w:hAnsi="Arial" w:cs="Arial"/>
    </w:rPr>
  </w:style>
  <w:style w:type="paragraph" w:styleId="959" w:customStyle="1">
    <w:name w:val="Знак Знак1 Знак Знак Знак Знак"/>
    <w:basedOn w:val="76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960" w:customStyle="1">
    <w:name w:val="Знак Знак Знак Знак1 Знак Знак"/>
    <w:basedOn w:val="769"/>
    <w:rPr>
      <w:rFonts w:ascii="Verdana" w:hAnsi="Verdana" w:cs="Verdana"/>
      <w:sz w:val="20"/>
      <w:szCs w:val="20"/>
      <w:lang w:val="en-US" w:eastAsia="en-US"/>
    </w:rPr>
  </w:style>
  <w:style w:type="paragraph" w:styleId="961">
    <w:name w:val="Normal (Web)"/>
    <w:basedOn w:val="769"/>
    <w:uiPriority w:val="99"/>
    <w:unhideWhenUsed/>
    <w:pPr>
      <w:spacing w:before="100" w:beforeAutospacing="1" w:after="100" w:afterAutospacing="1"/>
    </w:pPr>
  </w:style>
  <w:style w:type="character" w:styleId="962" w:customStyle="1">
    <w:name w:val="ТекстПисьма Знак"/>
    <w:link w:val="963"/>
    <w:rPr>
      <w:sz w:val="28"/>
      <w:lang w:val="ru-RU" w:eastAsia="ru-RU" w:bidi="ar-SA"/>
    </w:rPr>
  </w:style>
  <w:style w:type="paragraph" w:styleId="963" w:customStyle="1">
    <w:name w:val="ТекстПисьма"/>
    <w:link w:val="962"/>
    <w:pPr>
      <w:ind w:right="113" w:firstLine="720"/>
      <w:jc w:val="both"/>
      <w:spacing w:line="360" w:lineRule="auto"/>
    </w:pPr>
    <w:rPr>
      <w:sz w:val="28"/>
    </w:rPr>
  </w:style>
  <w:style w:type="paragraph" w:styleId="964">
    <w:name w:val="Footer"/>
    <w:basedOn w:val="769"/>
    <w:link w:val="965"/>
    <w:uiPriority w:val="99"/>
    <w:pPr>
      <w:tabs>
        <w:tab w:val="center" w:pos="4677" w:leader="none"/>
        <w:tab w:val="right" w:pos="9355" w:leader="none"/>
      </w:tabs>
    </w:pPr>
  </w:style>
  <w:style w:type="character" w:styleId="965" w:customStyle="1">
    <w:name w:val="Нижний колонтитул Знак"/>
    <w:link w:val="964"/>
    <w:uiPriority w:val="99"/>
    <w:rPr>
      <w:sz w:val="24"/>
      <w:szCs w:val="24"/>
    </w:rPr>
  </w:style>
  <w:style w:type="character" w:styleId="966" w:customStyle="1">
    <w:name w:val="Верхний колонтитул Знак"/>
    <w:link w:val="950"/>
    <w:uiPriority w:val="99"/>
    <w:rPr>
      <w:sz w:val="24"/>
      <w:szCs w:val="24"/>
    </w:rPr>
  </w:style>
  <w:style w:type="paragraph" w:styleId="967" w:customStyle="1">
    <w:name w:val="Default"/>
    <w:rPr>
      <w:color w:val="000000"/>
      <w:sz w:val="24"/>
      <w:szCs w:val="24"/>
    </w:rPr>
  </w:style>
  <w:style w:type="character" w:styleId="968" w:customStyle="1">
    <w:name w:val="Font Style14"/>
    <w:uiPriority w:val="99"/>
    <w:rPr>
      <w:rFonts w:ascii="Times New Roman" w:hAnsi="Times New Roman" w:cs="Times New Roman"/>
      <w:sz w:val="26"/>
      <w:szCs w:val="26"/>
    </w:rPr>
  </w:style>
  <w:style w:type="paragraph" w:styleId="969">
    <w:name w:val="List Paragraph"/>
    <w:basedOn w:val="769"/>
    <w:uiPriority w:val="34"/>
    <w:qFormat/>
    <w:pPr>
      <w:contextualSpacing/>
      <w:ind w:left="720"/>
    </w:pPr>
  </w:style>
  <w:style w:type="character" w:styleId="970">
    <w:name w:val="Hyperlink"/>
    <w:basedOn w:val="779"/>
    <w:uiPriority w:val="99"/>
    <w:unhideWhenUsed/>
    <w:rPr>
      <w:color w:val="0000ff" w:themeColor="hyperlink"/>
      <w:u w:val="single"/>
    </w:rPr>
  </w:style>
  <w:style w:type="character" w:styleId="971" w:customStyle="1">
    <w:name w:val="Текст выноски Знак"/>
    <w:basedOn w:val="779"/>
    <w:link w:val="948"/>
    <w:uiPriority w:val="99"/>
    <w:semiHidden/>
    <w:rPr>
      <w:rFonts w:ascii="Tahoma" w:hAnsi="Tahoma" w:cs="Tahoma"/>
      <w:sz w:val="16"/>
      <w:szCs w:val="16"/>
    </w:rPr>
  </w:style>
  <w:style w:type="character" w:styleId="972" w:customStyle="1">
    <w:name w:val="Текст сноски Знак"/>
    <w:basedOn w:val="779"/>
    <w:link w:val="956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83183-1E97-40D1-AB26-3359C074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Администрация Липецкой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к «правительственному часу»   на тему «Об участии Кировской области в государственных программах» в рамках пленарного заседания Законодательного Собрания Кировской области</dc:title>
  <dc:creator>Димонт</dc:creator>
  <cp:lastModifiedBy>kamasheva_ao</cp:lastModifiedBy>
  <cp:revision>23</cp:revision>
  <dcterms:created xsi:type="dcterms:W3CDTF">2025-05-22T19:43:00Z</dcterms:created>
  <dcterms:modified xsi:type="dcterms:W3CDTF">2025-09-08T13:31:11Z</dcterms:modified>
</cp:coreProperties>
</file>